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age4.wmf" ContentType="image/x-wmf"/>
  <Override PartName="/word/media/image3.wmf" ContentType="image/x-wmf"/>
  <Override PartName="/word/media/image5.wmf" ContentType="image/x-wmf"/>
  <Override PartName="/word/media/image6.wmf" ContentType="image/x-wmf"/>
  <Override PartName="/word/media/image10.wmf" ContentType="image/x-wmf"/>
  <Override PartName="/word/media/image7.wmf" ContentType="image/x-wmf"/>
  <Override PartName="/word/media/image2.wmf" ContentType="image/x-wmf"/>
  <Override PartName="/word/media/image8.wmf" ContentType="image/x-wmf"/>
  <Override PartName="/word/media/image9.wmf" ContentType="image/x-wmf"/>
  <Override PartName="/word/footer4.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header5.xml" ContentType="application/vnd.openxmlformats-officedocument.wordprocessingml.header+xml"/>
  <Override PartName="/word/numbering.xml" ContentType="application/vnd.openxmlformats-officedocument.wordprocessingml.numbering+xml"/>
  <Override PartName="/word/footer7.xml" ContentType="application/vnd.openxmlformats-officedocument.wordprocessingml.footer+xml"/>
  <Override PartName="/word/footer6.xml" ContentType="application/vnd.openxmlformats-officedocument.wordprocessingml.footer+xml"/>
  <Override PartName="/word/styles.xml" ContentType="application/vnd.openxmlformats-officedocument.wordprocessingml.styles+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theme/theme1.xml" ContentType="application/vnd.openxmlformats-officedocument.theme+xml"/>
  <Override PartName="/word/footer3.xml" ContentType="application/vnd.openxmlformats-officedocument.wordprocessingml.footer+xml"/>
  <Override PartName="/word/header1.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9"/>
        <w:tblW w:w="4915" w:type="dxa"/>
        <w:jc w:val="start"/>
        <w:tblInd w:w="4866" w:type="dxa"/>
        <w:tblLayout w:type="fixed"/>
        <w:tblCellMar>
          <w:top w:w="0" w:type="dxa"/>
          <w:start w:w="108" w:type="dxa"/>
          <w:bottom w:w="0" w:type="dxa"/>
          <w:end w:w="108" w:type="dxa"/>
        </w:tblCellMar>
        <w:tblLook w:val="04a0" w:noHBand="0" w:noVBand="1" w:firstColumn="1" w:lastRow="0" w:lastColumn="0" w:firstRow="1"/>
      </w:tblPr>
      <w:tblGrid>
        <w:gridCol w:w="4915"/>
      </w:tblGrid>
      <w:tr>
        <w:trPr/>
        <w:tc>
          <w:tcPr>
            <w:tcW w:w="4915" w:type="dxa"/>
            <w:tcBorders>
              <w:top w:val="nil"/>
              <w:start w:val="nil"/>
              <w:bottom w:val="nil"/>
              <w:end w:val="nil"/>
            </w:tcBorders>
          </w:tcPr>
          <w:p>
            <w:pPr>
              <w:pStyle w:val="Normal"/>
              <w:widowControl/>
              <w:spacing w:lineRule="auto" w:line="240" w:before="0" w:after="0"/>
              <w:ind w:hanging="0"/>
              <w:jc w:val="end"/>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Утверждаю</w:t>
            </w:r>
          </w:p>
          <w:p>
            <w:pPr>
              <w:pStyle w:val="Normal"/>
              <w:widowControl/>
              <w:spacing w:lineRule="auto" w:line="240" w:before="0" w:after="0"/>
              <w:ind w:hanging="0"/>
              <w:jc w:val="end"/>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Исполняющий обязанности главы Тугулымского муниципального округа</w:t>
            </w:r>
          </w:p>
          <w:p>
            <w:pPr>
              <w:pStyle w:val="Normal"/>
              <w:widowControl/>
              <w:spacing w:lineRule="auto" w:line="240" w:before="0" w:after="0"/>
              <w:ind w:hanging="0"/>
              <w:jc w:val="end"/>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К.В. Кизеров _______________</w:t>
            </w:r>
          </w:p>
          <w:p>
            <w:pPr>
              <w:pStyle w:val="Normal"/>
              <w:widowControl/>
              <w:spacing w:lineRule="auto" w:line="240" w:before="0" w:after="0"/>
              <w:ind w:hanging="0"/>
              <w:jc w:val="end"/>
              <w:rPr>
                <w:rFonts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М.П</w:t>
            </w:r>
            <w:r>
              <w:rPr>
                <w:rFonts w:eastAsia="Calibri" w:cs="Times New Roman"/>
                <w:kern w:val="0"/>
                <w:sz w:val="24"/>
                <w:szCs w:val="24"/>
                <w:lang w:val="ru-RU" w:eastAsia="en-US" w:bidi="ar-SA"/>
              </w:rPr>
              <w:t>.</w:t>
            </w:r>
          </w:p>
        </w:tc>
      </w:tr>
    </w:tbl>
    <w:p>
      <w:pPr>
        <w:pStyle w:val="Normal"/>
        <w:ind w:hanging="0"/>
        <w:rPr>
          <w:rFonts w:cs="Times New Roman"/>
          <w:sz w:val="28"/>
          <w:szCs w:val="28"/>
        </w:rPr>
      </w:pPr>
      <w:r>
        <w:rPr>
          <w:rFonts w:cs="Times New Roman"/>
          <w:sz w:val="28"/>
          <w:szCs w:val="28"/>
        </w:rPr>
      </w:r>
    </w:p>
    <w:p>
      <w:pPr>
        <w:pStyle w:val="Normal"/>
        <w:ind w:hanging="0"/>
        <w:rPr>
          <w:rFonts w:cs="Times New Roman"/>
          <w:sz w:val="28"/>
          <w:szCs w:val="28"/>
        </w:rPr>
      </w:pPr>
      <w:r>
        <w:rPr>
          <w:rFonts w:cs="Times New Roman"/>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sz w:val="28"/>
          <w:szCs w:val="28"/>
        </w:rPr>
      </w:pPr>
      <w:r>
        <w:rPr>
          <w:rFonts w:cs="Times New Roman"/>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jc w:val="center"/>
        <w:rPr>
          <w:rFonts w:cs="Times New Roman"/>
          <w:b/>
          <w:sz w:val="28"/>
          <w:szCs w:val="28"/>
        </w:rPr>
      </w:pPr>
      <w:r>
        <w:rPr>
          <w:rFonts w:cs="Times New Roman"/>
          <w:b/>
          <w:sz w:val="28"/>
          <w:szCs w:val="28"/>
        </w:rPr>
      </w:r>
    </w:p>
    <w:p>
      <w:pPr>
        <w:pStyle w:val="Normal"/>
        <w:widowControl w:val="false"/>
        <w:tabs>
          <w:tab w:val="clear" w:pos="708"/>
          <w:tab w:val="left" w:pos="1305" w:leader="none"/>
          <w:tab w:val="center" w:pos="6686" w:leader="none"/>
        </w:tabs>
        <w:ind w:hanging="0"/>
        <w:jc w:val="center"/>
        <w:rPr>
          <w:rFonts w:ascii="Liberation Serif" w:hAnsi="Liberation Serif"/>
        </w:rPr>
      </w:pPr>
      <w:r>
        <w:rPr>
          <w:rFonts w:eastAsia="Times New Roman" w:cs="Times New Roman" w:ascii="Liberation Serif" w:hAnsi="Liberation Serif"/>
          <w:b/>
          <w:sz w:val="28"/>
          <w:szCs w:val="28"/>
          <w:lang w:eastAsia="ru-RU"/>
        </w:rPr>
        <w:t>ПЛАН</w:t>
      </w:r>
    </w:p>
    <w:p>
      <w:pPr>
        <w:pStyle w:val="Normal"/>
        <w:widowControl w:val="false"/>
        <w:tabs>
          <w:tab w:val="clear" w:pos="708"/>
          <w:tab w:val="left" w:pos="1305" w:leader="none"/>
          <w:tab w:val="center" w:pos="6686" w:leader="none"/>
        </w:tabs>
        <w:ind w:hanging="0"/>
        <w:jc w:val="center"/>
        <w:rPr>
          <w:rFonts w:ascii="Liberation Serif" w:hAnsi="Liberation Serif" w:eastAsia="Times New Roman" w:cs="Times New Roman"/>
          <w:b/>
          <w:sz w:val="28"/>
          <w:szCs w:val="28"/>
          <w:lang w:eastAsia="ru-RU"/>
        </w:rPr>
      </w:pPr>
      <w:r>
        <w:rPr>
          <w:rFonts w:eastAsia="Times New Roman" w:cs="Times New Roman" w:ascii="Liberation Serif" w:hAnsi="Liberation Serif"/>
          <w:b/>
          <w:sz w:val="28"/>
          <w:szCs w:val="28"/>
          <w:lang w:eastAsia="ru-RU"/>
        </w:rPr>
        <w:t>ДЕЙСТВИЙ ПО ЛИКВИДАЦИИ ПОСЛЕДСТВИЙ</w:t>
      </w:r>
    </w:p>
    <w:p>
      <w:pPr>
        <w:pStyle w:val="Normal"/>
        <w:widowControl w:val="false"/>
        <w:tabs>
          <w:tab w:val="clear" w:pos="708"/>
          <w:tab w:val="left" w:pos="1305" w:leader="none"/>
          <w:tab w:val="center" w:pos="6686" w:leader="none"/>
        </w:tabs>
        <w:ind w:hanging="0"/>
        <w:jc w:val="center"/>
        <w:rPr>
          <w:rFonts w:ascii="Liberation Serif" w:hAnsi="Liberation Serif" w:eastAsia="Times New Roman" w:cs="Times New Roman"/>
          <w:b/>
          <w:sz w:val="28"/>
          <w:szCs w:val="28"/>
          <w:lang w:eastAsia="ru-RU"/>
        </w:rPr>
      </w:pPr>
      <w:r>
        <w:rPr>
          <w:rFonts w:eastAsia="Times New Roman" w:cs="Times New Roman" w:ascii="Liberation Serif" w:hAnsi="Liberation Serif"/>
          <w:b/>
          <w:sz w:val="28"/>
          <w:szCs w:val="28"/>
          <w:lang w:eastAsia="ru-RU"/>
        </w:rPr>
        <w:t>АВАРИЙНЫХ СИТУАЦИЙ В СФЕРЕ ТЕПЛОСНАБЖЕНИЯ</w:t>
      </w:r>
    </w:p>
    <w:p>
      <w:pPr>
        <w:pStyle w:val="Normal"/>
        <w:widowControl w:val="false"/>
        <w:tabs>
          <w:tab w:val="clear" w:pos="708"/>
          <w:tab w:val="left" w:pos="1305" w:leader="none"/>
          <w:tab w:val="center" w:pos="6686" w:leader="none"/>
        </w:tabs>
        <w:ind w:hanging="0"/>
        <w:jc w:val="center"/>
        <w:rPr>
          <w:rFonts w:ascii="Liberation Serif" w:hAnsi="Liberation Serif" w:eastAsia="Times New Roman" w:cs="Times New Roman"/>
          <w:b/>
          <w:sz w:val="28"/>
          <w:szCs w:val="28"/>
          <w:lang w:eastAsia="ru-RU"/>
        </w:rPr>
      </w:pPr>
      <w:r>
        <w:rPr>
          <w:rFonts w:eastAsia="Times New Roman" w:cs="Times New Roman" w:ascii="Liberation Serif" w:hAnsi="Liberation Serif"/>
          <w:b/>
          <w:sz w:val="28"/>
          <w:szCs w:val="28"/>
          <w:lang w:eastAsia="ru-RU"/>
        </w:rPr>
        <w:t>В МУНИЦИПАЛЬНОМ ОБРАЗОВАНИИ</w:t>
      </w:r>
    </w:p>
    <w:p>
      <w:pPr>
        <w:pStyle w:val="Normal"/>
        <w:widowControl w:val="false"/>
        <w:tabs>
          <w:tab w:val="clear" w:pos="708"/>
          <w:tab w:val="left" w:pos="1305" w:leader="none"/>
          <w:tab w:val="center" w:pos="6686" w:leader="none"/>
        </w:tabs>
        <w:ind w:hanging="0"/>
        <w:jc w:val="center"/>
        <w:rPr>
          <w:rFonts w:ascii="Liberation Serif" w:hAnsi="Liberation Serif"/>
        </w:rPr>
      </w:pPr>
      <w:r>
        <w:rPr>
          <w:rFonts w:eastAsia="Times New Roman" w:cs="Times New Roman" w:ascii="Liberation Serif" w:hAnsi="Liberation Serif"/>
          <w:b/>
          <w:sz w:val="28"/>
          <w:szCs w:val="28"/>
          <w:lang w:eastAsia="ru-RU"/>
        </w:rPr>
        <w:t xml:space="preserve">«ТУГУЛЫМСКИЙ МУНИЦИПАЛЬНЫЙ ОКРУГ </w:t>
      </w:r>
    </w:p>
    <w:p>
      <w:pPr>
        <w:pStyle w:val="Normal"/>
        <w:widowControl w:val="false"/>
        <w:tabs>
          <w:tab w:val="clear" w:pos="708"/>
          <w:tab w:val="left" w:pos="1305" w:leader="none"/>
          <w:tab w:val="center" w:pos="6686" w:leader="none"/>
        </w:tabs>
        <w:ind w:hanging="0"/>
        <w:jc w:val="center"/>
        <w:rPr>
          <w:rFonts w:ascii="Liberation Serif" w:hAnsi="Liberation Serif"/>
        </w:rPr>
      </w:pPr>
      <w:r>
        <w:rPr>
          <w:rFonts w:eastAsia="Times New Roman" w:cs="Times New Roman" w:ascii="Liberation Serif" w:hAnsi="Liberation Serif"/>
          <w:b/>
          <w:sz w:val="28"/>
          <w:szCs w:val="28"/>
          <w:lang w:eastAsia="ru-RU"/>
        </w:rPr>
        <w:t>СВЕРДЛОВСКОЙ ОБЛАСТИ»</w:t>
      </w:r>
    </w:p>
    <w:p>
      <w:pPr>
        <w:pStyle w:val="Normal"/>
        <w:ind w:hanging="0"/>
        <w:rPr>
          <w:rFonts w:ascii="Liberation Serif" w:hAnsi="Liberation Serif" w:cs="Times New Roman"/>
          <w:b/>
          <w:sz w:val="28"/>
          <w:szCs w:val="28"/>
        </w:rPr>
      </w:pPr>
      <w:r>
        <w:rPr>
          <w:rFonts w:cs="Times New Roman" w:ascii="Liberation Serif" w:hAnsi="Liberation Serif"/>
          <w:b/>
          <w:sz w:val="28"/>
          <w:szCs w:val="28"/>
        </w:rPr>
      </w:r>
    </w:p>
    <w:p>
      <w:pPr>
        <w:pStyle w:val="Normal"/>
        <w:ind w:hanging="0"/>
        <w:rPr>
          <w:rFonts w:ascii="Liberation Serif" w:hAnsi="Liberation Serif" w:cs="Times New Roman"/>
          <w:b/>
          <w:sz w:val="28"/>
          <w:szCs w:val="28"/>
        </w:rPr>
      </w:pPr>
      <w:r>
        <w:rPr>
          <w:rFonts w:cs="Times New Roman" w:ascii="Liberation Serif" w:hAnsi="Liberation Serif"/>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rPr>
          <w:rFonts w:cs="Times New Roman"/>
          <w:b/>
          <w:sz w:val="28"/>
          <w:szCs w:val="28"/>
        </w:rPr>
      </w:pPr>
      <w:r>
        <w:rPr>
          <w:rFonts w:cs="Times New Roman"/>
          <w:b/>
          <w:sz w:val="28"/>
          <w:szCs w:val="28"/>
        </w:rPr>
      </w:r>
    </w:p>
    <w:p>
      <w:pPr>
        <w:pStyle w:val="Normal"/>
        <w:ind w:hanging="0"/>
        <w:jc w:val="center"/>
        <w:rPr>
          <w:rFonts w:cs="Times New Roman"/>
          <w:bCs/>
          <w:sz w:val="28"/>
          <w:szCs w:val="28"/>
        </w:rPr>
      </w:pPr>
      <w:r>
        <w:rPr>
          <w:rFonts w:cs="Times New Roman"/>
          <w:bCs/>
          <w:sz w:val="28"/>
          <w:szCs w:val="28"/>
        </w:rPr>
      </w:r>
    </w:p>
    <w:p>
      <w:pPr>
        <w:pStyle w:val="Normal"/>
        <w:ind w:hanging="0"/>
        <w:jc w:val="center"/>
        <w:rPr>
          <w:rFonts w:ascii="Liberation Serif" w:hAnsi="Liberation Serif"/>
        </w:rPr>
      </w:pPr>
      <w:r>
        <w:rPr>
          <w:rFonts w:cs="Times New Roman" w:ascii="Liberation Serif" w:hAnsi="Liberation Serif"/>
          <w:bCs/>
          <w:sz w:val="28"/>
          <w:szCs w:val="28"/>
        </w:rPr>
        <w:t>ПГТ. ТУГУЛЫМ</w:t>
      </w:r>
    </w:p>
    <w:p>
      <w:pPr>
        <w:pStyle w:val="Normal"/>
        <w:ind w:hanging="0"/>
        <w:jc w:val="center"/>
        <w:rPr>
          <w:rFonts w:ascii="Liberation Serif" w:hAnsi="Liberation Serif"/>
        </w:rPr>
      </w:pPr>
      <w:r>
        <w:rPr>
          <w:rFonts w:cs="Times New Roman" w:ascii="Liberation Serif" w:hAnsi="Liberation Serif"/>
          <w:sz w:val="28"/>
          <w:szCs w:val="28"/>
        </w:rPr>
        <w:t>2026</w:t>
      </w:r>
    </w:p>
    <w:p>
      <w:pPr>
        <w:pStyle w:val="Heading1"/>
        <w:jc w:val="center"/>
        <w:rPr>
          <w:rFonts w:ascii="Liberation Serif" w:hAnsi="Liberation Serif"/>
        </w:rPr>
      </w:pPr>
      <w:bookmarkStart w:id="0" w:name="_Toc215581902"/>
      <w:r>
        <w:rPr>
          <w:rFonts w:cs="Times New Roman" w:ascii="Liberation Serif" w:hAnsi="Liberation Serif"/>
          <w:b/>
          <w:color w:val="auto"/>
          <w:sz w:val="28"/>
        </w:rPr>
        <w:t>СОДЕРЖАНИЕ</w:t>
      </w:r>
      <w:bookmarkEnd w:id="0"/>
    </w:p>
    <w:sdt>
      <w:sdtPr>
        <w:docPartObj>
          <w:docPartGallery w:val="Table of Contents"/>
          <w:docPartUnique w:val="true"/>
        </w:docPartObj>
      </w:sdtPr>
      <w:sdtContent>
        <w:p>
          <w:pPr>
            <w:pStyle w:val="TOC1"/>
            <w:rPr/>
          </w:pPr>
          <w:r>
            <w:fldChar w:fldCharType="begin"/>
          </w:r>
          <w:r>
            <w:rPr>
              <w:rStyle w:val="Style15"/>
              <w:rFonts w:cs="Times New Roman" w:ascii="Liberation Serif" w:hAnsi="Liberation Serif"/>
              <w:webHidden/>
              <w:sz w:val="28"/>
              <w:szCs w:val="28"/>
            </w:rPr>
            <w:instrText xml:space="preserve"> TOC \z \o "1-3" \u \h</w:instrText>
          </w:r>
          <w:r>
            <w:rPr>
              <w:rStyle w:val="Style15"/>
              <w:rFonts w:cs="Times New Roman" w:ascii="Liberation Serif" w:hAnsi="Liberation Serif"/>
              <w:webHidden/>
              <w:sz w:val="28"/>
              <w:szCs w:val="28"/>
            </w:rPr>
            <w:fldChar w:fldCharType="separate"/>
          </w:r>
          <w:hyperlink w:anchor="_Toc215581902">
            <w:r>
              <w:rPr>
                <w:rStyle w:val="Style15"/>
                <w:rFonts w:cs="Times New Roman" w:ascii="Liberation Serif" w:hAnsi="Liberation Serif"/>
                <w:webHidden/>
                <w:sz w:val="28"/>
                <w:szCs w:val="28"/>
              </w:rPr>
              <w:t>СОДЕРЖАНИЕ</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_Toc215581902 \h</w:instrText>
            </w:r>
            <w:r>
              <w:rPr>
                <w:webHidden/>
              </w:rPr>
              <w:fldChar w:fldCharType="separate"/>
            </w:r>
            <w:r>
              <w:rPr>
                <w:rStyle w:val="Style15"/>
                <w:rFonts w:cs="Times New Roman" w:ascii="Liberation Serif" w:hAnsi="Liberation Serif"/>
                <w:vanish w:val="false"/>
                <w:sz w:val="28"/>
                <w:szCs w:val="28"/>
              </w:rPr>
              <w:t>2</w:t>
            </w:r>
            <w:r>
              <w:rPr>
                <w:webHidden/>
              </w:rPr>
              <w:fldChar w:fldCharType="end"/>
            </w:r>
          </w:hyperlink>
        </w:p>
        <w:p>
          <w:pPr>
            <w:pStyle w:val="TOC1"/>
            <w:rPr/>
          </w:pPr>
          <w:hyperlink w:anchor="_Toc215581903">
            <w:r>
              <w:rPr>
                <w:rStyle w:val="Style15"/>
                <w:rFonts w:cs="Times New Roman" w:ascii="Liberation Serif" w:hAnsi="Liberation Serif"/>
                <w:webHidden/>
                <w:sz w:val="28"/>
                <w:szCs w:val="28"/>
              </w:rPr>
              <w:t>ТЕРМИНЫ И ОПРЕДЕЛЕНИЯ</w:t>
            </w:r>
            <w:r>
              <w:rPr>
                <w:rStyle w:val="Style15"/>
                <w:rFonts w:cs="Times New Roman" w:ascii="Liberation Serif" w:hAnsi="Liberation Serif"/>
                <w:vanish w:val="false"/>
                <w:sz w:val="28"/>
                <w:szCs w:val="28"/>
              </w:rPr>
              <w:t>…………………………………………………………</w:t>
            </w:r>
            <w:r>
              <w:rPr>
                <w:webHidden/>
              </w:rPr>
              <w:fldChar w:fldCharType="begin"/>
            </w:r>
            <w:r>
              <w:rPr>
                <w:webHidden/>
              </w:rPr>
              <w:instrText xml:space="preserve">PAGEREF _Toc215581903 \h</w:instrText>
            </w:r>
            <w:r>
              <w:rPr>
                <w:webHidden/>
              </w:rPr>
              <w:fldChar w:fldCharType="separate"/>
            </w:r>
            <w:r>
              <w:rPr>
                <w:rStyle w:val="Style15"/>
                <w:rFonts w:cs="Times New Roman" w:ascii="Liberation Serif" w:hAnsi="Liberation Serif"/>
                <w:vanish w:val="false"/>
                <w:sz w:val="28"/>
                <w:szCs w:val="28"/>
              </w:rPr>
              <w:t>3</w:t>
            </w:r>
            <w:r>
              <w:rPr>
                <w:webHidden/>
              </w:rPr>
              <w:fldChar w:fldCharType="end"/>
            </w:r>
          </w:hyperlink>
        </w:p>
        <w:p>
          <w:pPr>
            <w:pStyle w:val="TOC1"/>
            <w:rPr/>
          </w:pPr>
          <w:hyperlink w:anchor="_Toc215581904">
            <w:r>
              <w:rPr>
                <w:rStyle w:val="Style15"/>
                <w:rFonts w:cs="Times New Roman" w:ascii="Liberation Serif" w:hAnsi="Liberation Serif"/>
                <w:webHidden/>
                <w:sz w:val="28"/>
                <w:szCs w:val="28"/>
              </w:rPr>
              <w:t>1. Общие положения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_Toc215581904 \h</w:instrText>
            </w:r>
            <w:r>
              <w:rPr>
                <w:webHidden/>
              </w:rPr>
              <w:fldChar w:fldCharType="separate"/>
            </w:r>
            <w:r>
              <w:rPr>
                <w:rStyle w:val="Style15"/>
                <w:rFonts w:cs="Times New Roman" w:ascii="Liberation Serif" w:hAnsi="Liberation Serif"/>
                <w:vanish w:val="false"/>
                <w:sz w:val="28"/>
                <w:szCs w:val="28"/>
              </w:rPr>
              <w:t>7</w:t>
            </w:r>
            <w:r>
              <w:rPr>
                <w:webHidden/>
              </w:rPr>
              <w:fldChar w:fldCharType="end"/>
            </w:r>
          </w:hyperlink>
        </w:p>
        <w:p>
          <w:pPr>
            <w:pStyle w:val="TOC1"/>
            <w:rPr/>
          </w:pPr>
          <w:hyperlink w:anchor="_Toc215581905">
            <w:r>
              <w:rPr>
                <w:rStyle w:val="Style15"/>
                <w:rFonts w:cs="Times New Roman" w:ascii="Liberation Serif" w:hAnsi="Liberation Serif"/>
                <w:webHidden/>
                <w:sz w:val="28"/>
                <w:szCs w:val="28"/>
              </w:rPr>
              <w:t>2. Цели</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_Toc215581905 \h</w:instrText>
            </w:r>
            <w:r>
              <w:rPr>
                <w:webHidden/>
              </w:rPr>
              <w:fldChar w:fldCharType="separate"/>
            </w:r>
            <w:r>
              <w:rPr>
                <w:rStyle w:val="Style15"/>
                <w:rFonts w:cs="Times New Roman" w:ascii="Liberation Serif" w:hAnsi="Liberation Serif"/>
                <w:vanish w:val="false"/>
                <w:sz w:val="28"/>
                <w:szCs w:val="28"/>
              </w:rPr>
              <w:t>9</w:t>
            </w:r>
            <w:r>
              <w:rPr>
                <w:webHidden/>
              </w:rPr>
              <w:fldChar w:fldCharType="end"/>
            </w:r>
          </w:hyperlink>
        </w:p>
        <w:p>
          <w:pPr>
            <w:pStyle w:val="TOC1"/>
            <w:rPr/>
          </w:pPr>
          <w:hyperlink w:anchor="_Toc215581906">
            <w:r>
              <w:rPr>
                <w:rStyle w:val="Style15"/>
                <w:rFonts w:cs="Times New Roman" w:ascii="Liberation Serif" w:hAnsi="Liberation Serif"/>
                <w:webHidden/>
                <w:sz w:val="28"/>
                <w:szCs w:val="28"/>
              </w:rPr>
              <w:t>3. Задачи</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_Toc215581906 \h</w:instrText>
            </w:r>
            <w:r>
              <w:rPr>
                <w:webHidden/>
              </w:rPr>
              <w:fldChar w:fldCharType="separate"/>
            </w:r>
            <w:r>
              <w:rPr>
                <w:rStyle w:val="Style15"/>
                <w:rFonts w:cs="Times New Roman" w:ascii="Liberation Serif" w:hAnsi="Liberation Serif"/>
                <w:vanish w:val="false"/>
                <w:sz w:val="28"/>
                <w:szCs w:val="28"/>
              </w:rPr>
              <w:t>10</w:t>
            </w:r>
            <w:r>
              <w:rPr>
                <w:webHidden/>
              </w:rPr>
              <w:fldChar w:fldCharType="end"/>
            </w:r>
          </w:hyperlink>
        </w:p>
        <w:p>
          <w:pPr>
            <w:pStyle w:val="TOC1"/>
            <w:rPr/>
          </w:pPr>
          <w:hyperlink w:anchor="_Toc215581907">
            <w:r>
              <w:rPr>
                <w:rStyle w:val="Style15"/>
                <w:rFonts w:cs="Times New Roman" w:ascii="Liberation Serif" w:hAnsi="Liberation Serif"/>
                <w:webHidden/>
                <w:sz w:val="28"/>
                <w:szCs w:val="28"/>
              </w:rPr>
              <w:t>4. Краткая характеристика муниципального образования (наименование)</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_Toc215581907 \h</w:instrText>
            </w:r>
            <w:r>
              <w:rPr>
                <w:webHidden/>
              </w:rPr>
              <w:fldChar w:fldCharType="separate"/>
            </w:r>
            <w:r>
              <w:rPr>
                <w:rStyle w:val="Style15"/>
                <w:rFonts w:cs="Times New Roman" w:ascii="Liberation Serif" w:hAnsi="Liberation Serif"/>
                <w:vanish w:val="false"/>
                <w:sz w:val="28"/>
                <w:szCs w:val="28"/>
              </w:rPr>
              <w:t>10</w:t>
            </w:r>
            <w:r>
              <w:rPr>
                <w:webHidden/>
              </w:rPr>
              <w:fldChar w:fldCharType="end"/>
            </w:r>
          </w:hyperlink>
        </w:p>
        <w:p>
          <w:pPr>
            <w:pStyle w:val="TOC1"/>
            <w:rPr/>
          </w:pPr>
          <w:hyperlink w:anchor="_Toc215581908">
            <w:r>
              <w:rPr>
                <w:rStyle w:val="Style15"/>
                <w:rFonts w:cs="Times New Roman" w:ascii="Liberation Serif" w:hAnsi="Liberation Serif"/>
                <w:webHidden/>
                <w:sz w:val="28"/>
                <w:szCs w:val="28"/>
              </w:rPr>
              <w:t>5. Основные задачи и функции единой дежурно-диспетчерской службы муниципального образования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_Toc215581908 \h</w:instrText>
            </w:r>
            <w:r>
              <w:rPr>
                <w:webHidden/>
              </w:rPr>
              <w:fldChar w:fldCharType="separate"/>
            </w:r>
            <w:r>
              <w:rPr>
                <w:rStyle w:val="Style15"/>
                <w:rFonts w:cs="Times New Roman" w:ascii="Liberation Serif" w:hAnsi="Liberation Serif"/>
                <w:vanish w:val="false"/>
                <w:sz w:val="28"/>
                <w:szCs w:val="28"/>
              </w:rPr>
              <w:t>15</w:t>
            </w:r>
            <w:r>
              <w:rPr>
                <w:webHidden/>
              </w:rPr>
              <w:fldChar w:fldCharType="end"/>
            </w:r>
          </w:hyperlink>
        </w:p>
        <w:p>
          <w:pPr>
            <w:pStyle w:val="TOC1"/>
            <w:rPr/>
          </w:pPr>
          <w:hyperlink w:anchor="_Toc215581909">
            <w:r>
              <w:rPr>
                <w:rStyle w:val="Style15"/>
                <w:rFonts w:cs="Times New Roman" w:ascii="Liberation Serif" w:hAnsi="Liberation Serif"/>
                <w:webHidden/>
                <w:sz w:val="28"/>
                <w:szCs w:val="28"/>
              </w:rPr>
              <w:t>6. Теплоснабжающие и теплосетевые организации МО</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_Toc215581909 \h</w:instrText>
            </w:r>
            <w:r>
              <w:rPr>
                <w:webHidden/>
              </w:rPr>
              <w:fldChar w:fldCharType="separate"/>
            </w:r>
            <w:r>
              <w:rPr>
                <w:rStyle w:val="Style15"/>
                <w:rFonts w:cs="Times New Roman" w:ascii="Liberation Serif" w:hAnsi="Liberation Serif"/>
                <w:vanish w:val="false"/>
                <w:sz w:val="28"/>
                <w:szCs w:val="28"/>
              </w:rPr>
              <w:t>15</w:t>
            </w:r>
            <w:r>
              <w:rPr>
                <w:webHidden/>
              </w:rPr>
              <w:fldChar w:fldCharType="end"/>
            </w:r>
          </w:hyperlink>
        </w:p>
        <w:p>
          <w:pPr>
            <w:pStyle w:val="TOC1"/>
            <w:rPr/>
          </w:pPr>
          <w:hyperlink w:anchor="_Toc215581910">
            <w:r>
              <w:rPr>
                <w:rStyle w:val="Style15"/>
                <w:rFonts w:cs="Times New Roman" w:ascii="Liberation Serif" w:hAnsi="Liberation Serif"/>
                <w:webHidden/>
                <w:sz w:val="28"/>
                <w:szCs w:val="28"/>
              </w:rPr>
              <w:t>7. Электроснабжение источников тепловой энергии</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_Toc215581910 \h</w:instrText>
            </w:r>
            <w:r>
              <w:rPr>
                <w:webHidden/>
              </w:rPr>
              <w:fldChar w:fldCharType="separate"/>
            </w:r>
            <w:r>
              <w:rPr>
                <w:rStyle w:val="Style15"/>
                <w:rFonts w:cs="Times New Roman" w:ascii="Liberation Serif" w:hAnsi="Liberation Serif"/>
                <w:vanish w:val="false"/>
                <w:sz w:val="28"/>
                <w:szCs w:val="28"/>
              </w:rPr>
              <w:t>18</w:t>
            </w:r>
            <w:r>
              <w:rPr>
                <w:webHidden/>
              </w:rPr>
              <w:fldChar w:fldCharType="end"/>
            </w:r>
          </w:hyperlink>
        </w:p>
        <w:p>
          <w:pPr>
            <w:pStyle w:val="TOC1"/>
            <w:rPr/>
          </w:pPr>
          <w:hyperlink w:anchor="_Toc215581911">
            <w:r>
              <w:rPr>
                <w:rStyle w:val="Style15"/>
                <w:rFonts w:cs="Times New Roman" w:ascii="Liberation Serif" w:hAnsi="Liberation Serif"/>
                <w:webHidden/>
                <w:sz w:val="28"/>
                <w:szCs w:val="28"/>
              </w:rPr>
              <w:t>8. Водоснабжение источников тепловой энергии</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_Toc215581911 \h</w:instrText>
            </w:r>
            <w:r>
              <w:rPr>
                <w:webHidden/>
              </w:rPr>
              <w:fldChar w:fldCharType="separate"/>
            </w:r>
            <w:r>
              <w:rPr>
                <w:rStyle w:val="Style15"/>
                <w:rFonts w:cs="Times New Roman" w:ascii="Liberation Serif" w:hAnsi="Liberation Serif"/>
                <w:vanish w:val="false"/>
                <w:sz w:val="28"/>
                <w:szCs w:val="28"/>
              </w:rPr>
              <w:t>20</w:t>
            </w:r>
            <w:r>
              <w:rPr>
                <w:webHidden/>
              </w:rPr>
              <w:fldChar w:fldCharType="end"/>
            </w:r>
          </w:hyperlink>
        </w:p>
        <w:p>
          <w:pPr>
            <w:pStyle w:val="TOC1"/>
            <w:rPr/>
          </w:pPr>
          <w:hyperlink w:anchor="_Toc215581912">
            <w:r>
              <w:rPr>
                <w:rStyle w:val="Style15"/>
                <w:rFonts w:cs="Times New Roman" w:ascii="Liberation Serif" w:hAnsi="Liberation Serif"/>
                <w:webHidden/>
                <w:sz w:val="28"/>
                <w:szCs w:val="28"/>
              </w:rPr>
              <w:t>9. Топливоснабжение источников тепловой энергии</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_Toc215581912 \h</w:instrText>
            </w:r>
            <w:r>
              <w:rPr>
                <w:webHidden/>
              </w:rPr>
              <w:fldChar w:fldCharType="separate"/>
            </w:r>
            <w:r>
              <w:rPr>
                <w:rStyle w:val="Style15"/>
                <w:rFonts w:cs="Times New Roman" w:ascii="Liberation Serif" w:hAnsi="Liberation Serif"/>
                <w:vanish w:val="false"/>
                <w:sz w:val="28"/>
                <w:szCs w:val="28"/>
              </w:rPr>
              <w:t>21</w:t>
            </w:r>
            <w:r>
              <w:rPr>
                <w:webHidden/>
              </w:rPr>
              <w:fldChar w:fldCharType="end"/>
            </w:r>
          </w:hyperlink>
        </w:p>
        <w:p>
          <w:pPr>
            <w:pStyle w:val="TOC1"/>
            <w:rPr/>
          </w:pPr>
          <w:hyperlink w:anchor="_Toc215581913">
            <w:r>
              <w:rPr>
                <w:rStyle w:val="Style15"/>
                <w:rFonts w:cs="Times New Roman" w:ascii="Liberation Serif" w:hAnsi="Liberation Serif"/>
                <w:webHidden/>
                <w:sz w:val="28"/>
                <w:szCs w:val="28"/>
              </w:rPr>
              <w:t>10 Сценарии наиболее вероятных аварий и наиболее опасных по последствиям аварий, а также источники (места) их возникновения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_Toc215581913 \h</w:instrText>
            </w:r>
            <w:r>
              <w:rPr>
                <w:webHidden/>
              </w:rPr>
              <w:fldChar w:fldCharType="separate"/>
            </w:r>
            <w:r>
              <w:rPr>
                <w:rStyle w:val="Style15"/>
                <w:rFonts w:cs="Times New Roman" w:ascii="Liberation Serif" w:hAnsi="Liberation Serif"/>
                <w:vanish w:val="false"/>
                <w:sz w:val="28"/>
                <w:szCs w:val="28"/>
              </w:rPr>
              <w:t>22</w:t>
            </w:r>
            <w:r>
              <w:rPr>
                <w:webHidden/>
              </w:rPr>
              <w:fldChar w:fldCharType="end"/>
            </w:r>
          </w:hyperlink>
        </w:p>
        <w:p>
          <w:pPr>
            <w:pStyle w:val="TOC1"/>
            <w:rPr/>
          </w:pPr>
          <w:hyperlink w:anchor="_Toc215581914">
            <w:r>
              <w:rPr>
                <w:rStyle w:val="Style15"/>
                <w:rFonts w:cs="Times New Roman" w:ascii="Liberation Serif" w:hAnsi="Liberation Serif"/>
                <w:webHidden/>
                <w:sz w:val="28"/>
                <w:szCs w:val="28"/>
              </w:rPr>
              <w:t>11. 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_Toc215581914 \h</w:instrText>
            </w:r>
            <w:r>
              <w:rPr>
                <w:webHidden/>
              </w:rPr>
              <w:fldChar w:fldCharType="separate"/>
            </w:r>
            <w:r>
              <w:rPr>
                <w:rStyle w:val="Style15"/>
                <w:rFonts w:cs="Times New Roman" w:ascii="Liberation Serif" w:hAnsi="Liberation Serif"/>
                <w:vanish w:val="false"/>
                <w:sz w:val="28"/>
                <w:szCs w:val="28"/>
              </w:rPr>
              <w:t>24</w:t>
            </w:r>
            <w:r>
              <w:rPr>
                <w:webHidden/>
              </w:rPr>
              <w:fldChar w:fldCharType="end"/>
            </w:r>
          </w:hyperlink>
        </w:p>
        <w:p>
          <w:pPr>
            <w:pStyle w:val="TOC1"/>
            <w:rPr/>
          </w:pPr>
          <w:hyperlink w:anchor="_Toc215581915">
            <w:r>
              <w:rPr>
                <w:rStyle w:val="Style15"/>
                <w:rFonts w:cs="Times New Roman" w:ascii="Liberation Serif" w:hAnsi="Liberation Serif"/>
                <w:webHidden/>
                <w:sz w:val="28"/>
                <w:szCs w:val="28"/>
              </w:rPr>
              <w:t>12. Регламент взаимодействия организаций при ликвидации аварийных ситуаций на объектах теплоснабжения и теплопотребления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_Toc215581915 \h</w:instrText>
            </w:r>
            <w:r>
              <w:rPr>
                <w:webHidden/>
              </w:rPr>
              <w:fldChar w:fldCharType="separate"/>
            </w:r>
            <w:r>
              <w:rPr>
                <w:rStyle w:val="Style15"/>
                <w:rFonts w:cs="Times New Roman" w:ascii="Liberation Serif" w:hAnsi="Liberation Serif"/>
                <w:vanish w:val="false"/>
                <w:sz w:val="28"/>
                <w:szCs w:val="28"/>
              </w:rPr>
              <w:t>25</w:t>
            </w:r>
            <w:r>
              <w:rPr>
                <w:webHidden/>
              </w:rPr>
              <w:fldChar w:fldCharType="end"/>
            </w:r>
          </w:hyperlink>
        </w:p>
        <w:p>
          <w:pPr>
            <w:pStyle w:val="TOC1"/>
            <w:rPr/>
          </w:pPr>
          <w:hyperlink w:anchor="_Toc215581916">
            <w:r>
              <w:rPr>
                <w:rStyle w:val="Style15"/>
                <w:rFonts w:cs="Times New Roman" w:ascii="Liberation Serif" w:hAnsi="Liberation Serif"/>
                <w:webHidden/>
                <w:sz w:val="28"/>
                <w:szCs w:val="28"/>
              </w:rPr>
              <w:t>13. Организация работ</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_Toc215581916 \h</w:instrText>
            </w:r>
            <w:r>
              <w:rPr>
                <w:webHidden/>
              </w:rPr>
              <w:fldChar w:fldCharType="separate"/>
            </w:r>
            <w:r>
              <w:rPr>
                <w:rStyle w:val="Style15"/>
                <w:rFonts w:cs="Times New Roman" w:ascii="Liberation Serif" w:hAnsi="Liberation Serif"/>
                <w:vanish w:val="false"/>
                <w:sz w:val="28"/>
                <w:szCs w:val="28"/>
              </w:rPr>
              <w:t>27</w:t>
            </w:r>
            <w:r>
              <w:rPr>
                <w:webHidden/>
              </w:rPr>
              <w:fldChar w:fldCharType="end"/>
            </w:r>
          </w:hyperlink>
        </w:p>
        <w:p>
          <w:pPr>
            <w:pStyle w:val="TOC1"/>
            <w:rPr/>
          </w:pPr>
          <w:hyperlink w:anchor="_Toc215581917">
            <w:r>
              <w:rPr>
                <w:rStyle w:val="Style15"/>
                <w:rFonts w:cs="Times New Roman" w:ascii="Liberation Serif" w:hAnsi="Liberation Serif"/>
                <w:webHidden/>
                <w:sz w:val="28"/>
                <w:szCs w:val="28"/>
              </w:rPr>
              <w:t>14. Электронное моделирование сценариев развития аварий в системе теплоснабжения с моделированием гидравлических режимов</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_Toc215581917 \h</w:instrText>
            </w:r>
            <w:r>
              <w:rPr>
                <w:webHidden/>
              </w:rPr>
              <w:fldChar w:fldCharType="separate"/>
            </w:r>
            <w:r>
              <w:rPr>
                <w:rStyle w:val="Style15"/>
                <w:rFonts w:cs="Times New Roman" w:ascii="Liberation Serif" w:hAnsi="Liberation Serif"/>
                <w:vanish w:val="false"/>
                <w:sz w:val="28"/>
                <w:szCs w:val="28"/>
              </w:rPr>
              <w:t>29</w:t>
            </w:r>
            <w:r>
              <w:rPr>
                <w:webHidden/>
              </w:rPr>
              <w:fldChar w:fldCharType="end"/>
            </w:r>
          </w:hyperlink>
        </w:p>
        <w:p>
          <w:pPr>
            <w:pStyle w:val="TOC1"/>
            <w:rPr/>
          </w:pPr>
          <w:hyperlink w:anchor="_Toc215581918">
            <w:r>
              <w:rPr>
                <w:rStyle w:val="Style15"/>
                <w:rFonts w:cs="Times New Roman" w:ascii="Liberation Serif" w:hAnsi="Liberation Serif"/>
                <w:webHidden/>
                <w:sz w:val="28"/>
                <w:szCs w:val="28"/>
              </w:rPr>
              <w:t>15. Порядок организации материально-технического, инженерного и финансового обеспечения операций по локализации и ликвидации аварий на объектах теплоснабжения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_Toc215581918 \h</w:instrText>
            </w:r>
            <w:r>
              <w:rPr>
                <w:webHidden/>
              </w:rPr>
              <w:fldChar w:fldCharType="separate"/>
            </w:r>
            <w:r>
              <w:rPr>
                <w:rStyle w:val="Style15"/>
                <w:rFonts w:cs="Times New Roman" w:ascii="Liberation Serif" w:hAnsi="Liberation Serif"/>
                <w:vanish w:val="false"/>
                <w:sz w:val="28"/>
                <w:szCs w:val="28"/>
              </w:rPr>
              <w:t>30</w:t>
            </w:r>
            <w:r>
              <w:rPr>
                <w:webHidden/>
              </w:rPr>
              <w:fldChar w:fldCharType="end"/>
            </w:r>
          </w:hyperlink>
        </w:p>
        <w:p>
          <w:pPr>
            <w:pStyle w:val="TOC1"/>
            <w:rPr/>
          </w:pPr>
          <w:hyperlink w:anchor="_Toc215581919">
            <w:r>
              <w:rPr>
                <w:rStyle w:val="Style15"/>
                <w:rFonts w:cs="Times New Roman" w:ascii="Liberation Serif" w:hAnsi="Liberation Serif"/>
                <w:webHidden/>
                <w:sz w:val="28"/>
                <w:szCs w:val="28"/>
              </w:rPr>
              <w:t>16. Заключительные положения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_Toc215581919 \h</w:instrText>
            </w:r>
            <w:r>
              <w:rPr>
                <w:webHidden/>
              </w:rPr>
              <w:fldChar w:fldCharType="separate"/>
            </w:r>
            <w:r>
              <w:rPr>
                <w:rStyle w:val="Style15"/>
                <w:rFonts w:cs="Times New Roman" w:ascii="Liberation Serif" w:hAnsi="Liberation Serif"/>
                <w:vanish w:val="false"/>
                <w:sz w:val="28"/>
                <w:szCs w:val="28"/>
              </w:rPr>
              <w:t>32</w:t>
            </w:r>
            <w:r>
              <w:rPr>
                <w:webHidden/>
              </w:rPr>
              <w:fldChar w:fldCharType="end"/>
            </w:r>
          </w:hyperlink>
        </w:p>
        <w:p>
          <w:pPr>
            <w:pStyle w:val="TOC1"/>
            <w:rPr/>
          </w:pPr>
          <w:hyperlink w:anchor="_Toc215581920">
            <w:r>
              <w:rPr>
                <w:rStyle w:val="Style15"/>
                <w:rFonts w:cs="Times New Roman" w:ascii="Liberation Serif" w:hAnsi="Liberation Serif"/>
                <w:webHidden/>
                <w:sz w:val="28"/>
                <w:szCs w:val="28"/>
              </w:rPr>
              <w:t>Приложения</w:t>
            </w:r>
            <w:r>
              <w:rPr>
                <w:rStyle w:val="Style15"/>
                <w:rFonts w:cs="Times New Roman" w:ascii="Liberation Serif" w:hAnsi="Liberation Serif"/>
                <w:vanish w:val="false"/>
                <w:sz w:val="28"/>
                <w:szCs w:val="28"/>
              </w:rPr>
              <w:tab/>
            </w:r>
            <w:r>
              <w:rPr>
                <w:webHidden/>
              </w:rPr>
              <w:fldChar w:fldCharType="begin"/>
            </w:r>
            <w:r>
              <w:rPr>
                <w:webHidden/>
              </w:rPr>
              <w:instrText xml:space="preserve">PAGEREF _Toc215581920 \h</w:instrText>
            </w:r>
            <w:r>
              <w:rPr>
                <w:webHidden/>
              </w:rPr>
              <w:fldChar w:fldCharType="separate"/>
            </w:r>
            <w:r>
              <w:rPr>
                <w:rStyle w:val="Style15"/>
                <w:rFonts w:cs="Times New Roman" w:ascii="Liberation Serif" w:hAnsi="Liberation Serif"/>
                <w:vanish w:val="false"/>
                <w:sz w:val="28"/>
                <w:szCs w:val="28"/>
              </w:rPr>
              <w:t>34</w:t>
            </w:r>
            <w:r>
              <w:rPr>
                <w:webHidden/>
              </w:rPr>
              <w:fldChar w:fldCharType="end"/>
            </w:r>
          </w:hyperlink>
          <w:r>
            <w:rPr>
              <w:rStyle w:val="Style15"/>
              <w:rFonts w:cs="Times New Roman" w:ascii="Liberation Serif" w:hAnsi="Liberation Serif"/>
              <w:vanish w:val="false"/>
              <w:sz w:val="28"/>
              <w:szCs w:val="28"/>
            </w:rPr>
            <w:fldChar w:fldCharType="end"/>
          </w:r>
        </w:p>
      </w:sdtContent>
    </w:sdt>
    <w:p>
      <w:pPr>
        <w:pStyle w:val="Normal"/>
        <w:rPr>
          <w:rFonts w:ascii="Liberation Serif" w:hAnsi="Liberation Serif" w:eastAsia="" w:cs="Times New Roman" w:eastAsiaTheme="majorEastAsia"/>
          <w:sz w:val="28"/>
          <w:szCs w:val="28"/>
        </w:rPr>
      </w:pPr>
      <w:r>
        <w:rPr>
          <w:rFonts w:eastAsia="" w:cs="Times New Roman" w:eastAsiaTheme="majorEastAsia" w:ascii="Liberation Serif" w:hAnsi="Liberation Serif"/>
          <w:sz w:val="28"/>
          <w:szCs w:val="28"/>
        </w:rPr>
      </w:r>
      <w:bookmarkStart w:id="1" w:name="_Toc194393516"/>
      <w:bookmarkStart w:id="2" w:name="_Toc194393516"/>
      <w:r>
        <w:br w:type="page"/>
      </w:r>
    </w:p>
    <w:p>
      <w:pPr>
        <w:pStyle w:val="Heading1"/>
        <w:spacing w:before="0" w:after="0"/>
        <w:jc w:val="center"/>
        <w:rPr>
          <w:rFonts w:ascii="Liberation Serif" w:hAnsi="Liberation Serif"/>
        </w:rPr>
      </w:pPr>
      <w:bookmarkStart w:id="3" w:name="_Toc194393516"/>
      <w:bookmarkStart w:id="4" w:name="_Toc215581903"/>
      <w:r>
        <w:rPr>
          <w:rFonts w:cs="Times New Roman" w:ascii="Liberation Serif" w:hAnsi="Liberation Serif"/>
          <w:b/>
          <w:color w:val="auto"/>
          <w:sz w:val="28"/>
          <w:szCs w:val="28"/>
        </w:rPr>
        <w:t>ТЕРМИНЫ И ОПРЕДЕЛЕНИЯ</w:t>
      </w:r>
      <w:bookmarkEnd w:id="3"/>
      <w:bookmarkEnd w:id="4"/>
    </w:p>
    <w:tbl>
      <w:tblPr>
        <w:tblW w:w="9831"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2576"/>
        <w:gridCol w:w="7255"/>
      </w:tblGrid>
      <w:tr>
        <w:trPr>
          <w:tblHeader w:val="true"/>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Термин</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Определение</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Управляющая организация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Коммунальные услуги</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деятельность исполнителя по оказанию услуг по холодному водоснабжению, горячему водоснабжению, водоотведению, электроснабжению и отоплению, обеспечивающая комфортные условия проживания граждан в жилых помещениях</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Ресурсоснабжающая организация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Коммунальные ресурсы</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горячая вода, холодная вода, тепловая энергия, электрическая энергия, используемые для предоставления коммунальных услуг</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Объекты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bCs/>
                <w:sz w:val="24"/>
                <w:szCs w:val="24"/>
              </w:rPr>
              <w:t>источники тепловой энергии, тепловые сети или их совокупность</w:t>
            </w:r>
            <w:r>
              <w:rPr>
                <w:rFonts w:cs="Times New Roman" w:ascii="Liberation Serif" w:hAnsi="Liberation Serif"/>
                <w:sz w:val="24"/>
                <w:szCs w:val="24"/>
              </w:rPr>
              <w:t>.</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Система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совокупность объединенных общим производственным процессом источников тепла и (или) тепловых сетей города (района), населенного пункта эксплуатируемых теплоснабжающей организацией жилищно-коммунального хозяйства, получившей соответствующие специальные разрешения (лицензии) в установленном порядке</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Тепловой пункт</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теплоиспользующих установок промышленных и сельскохозяйственных предприятий, жилых и общественных зданий (индивидуальные – для присоединения систем теплопотребления одного здания или его части; центральные – то же, двух зданий или более)</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Техническое обслуживание</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комплекс операций или операция по поддержанию работоспособности или исправности изделия (установки) при использовании его (ее) по назначению, хранении или транспортировке</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Текущий ремонт</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ремонт, выполняемый для поддержания технических и экономических характеристик объекта в заданных пределах с заменой и (или) восстановлением отдельных быстроизнашивающихся составных частей и деталей</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Капитальный ремонт</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ремонт, выполняемый для восстановления технических и экономических характеристик объекта до значений, близких к проектным, с заменой или восстановлением любых составных частей</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Технологические нарушения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нарушения в работе системы теплоснабжения и работе эксплуатирующих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инцидент и аварию</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Инцидент</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отказ или повреждение оборудования и (или) сетей, отклонение от установленных режимов, нарушение федеральных законов, нормативно - правовых актов и технических документов, устанавливающих правила ведения работ на производственном объекте</w:t>
            </w:r>
          </w:p>
        </w:tc>
      </w:tr>
      <w:tr>
        <w:trPr>
          <w:trHeight w:val="1378"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Надежность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08"/>
                <w:tab w:val="left" w:pos="360" w:leader="none"/>
              </w:tabs>
              <w:ind w:firstLine="22"/>
              <w:rPr>
                <w:rFonts w:ascii="Liberation Serif" w:hAnsi="Liberation Serif"/>
              </w:rPr>
            </w:pPr>
            <w:r>
              <w:rPr>
                <w:rFonts w:cs="Times New Roman" w:ascii="Liberation Serif" w:hAnsi="Liberation Serif"/>
                <w:sz w:val="24"/>
                <w:szCs w:val="24"/>
              </w:rPr>
              <w:t>характеристика состояния системы теплоснабжения, при котором обеспечиваются качество и безопасность теплоснабжения;</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Живучесть системы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08"/>
                <w:tab w:val="left" w:pos="360" w:leader="none"/>
              </w:tabs>
              <w:ind w:firstLine="22"/>
              <w:rPr>
                <w:rFonts w:ascii="Liberation Serif" w:hAnsi="Liberation Serif"/>
              </w:rPr>
            </w:pPr>
            <w:r>
              <w:rPr>
                <w:rFonts w:cs="Times New Roman" w:ascii="Liberation Serif" w:hAnsi="Liberation Serif"/>
                <w:sz w:val="24"/>
                <w:szCs w:val="24"/>
              </w:rPr>
              <w:t> </w:t>
            </w:r>
            <w:r>
              <w:rPr>
                <w:rFonts w:cs="Times New Roman" w:ascii="Liberation Serif" w:hAnsi="Liberation Serif"/>
                <w:sz w:val="24"/>
                <w:szCs w:val="24"/>
              </w:rPr>
              <w:t>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Теплоснабжение</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обеспечение потребителей тепловой энергии тепловой энергией, теплоносителем, в том числе поддержание мощности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Схема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Тепловая энергия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bCs/>
                <w:sz w:val="24"/>
                <w:szCs w:val="24"/>
              </w:rPr>
              <w:t>энергия, передаваемая от производителя потребителю посредством теплоносителя</w:t>
            </w:r>
            <w:r>
              <w:rPr>
                <w:rFonts w:cs="Times New Roman" w:ascii="Liberation Serif" w:hAnsi="Liberation Serif"/>
                <w:b/>
                <w:bCs/>
                <w:sz w:val="24"/>
                <w:szCs w:val="24"/>
              </w:rPr>
              <w:t>,</w:t>
            </w:r>
            <w:r>
              <w:rPr>
                <w:rFonts w:cs="Times New Roman" w:ascii="Liberation Serif" w:hAnsi="Liberation Serif"/>
                <w:sz w:val="24"/>
                <w:szCs w:val="24"/>
              </w:rPr>
              <w:t xml:space="preserve"> энергетический ресурс, при потреблении которого изменяются термодинамические параметры теплоносителей (температура, давление)</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Теплоноситель в контексте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bCs/>
                <w:sz w:val="24"/>
                <w:szCs w:val="24"/>
              </w:rPr>
              <w:t>пар или вода, которые используются для передачи тепловой энергии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Источник тепловой энергии</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устройство, предназначенное для производства тепловой энергии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Тепловая сеть</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Тепловая нагрузка</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количество тепловой энергии, которое может быть принято потребителем тепловой энергии за единицу времени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Потребитель тепловой энергии (далее потребитель)</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Теплопотребляющая установка</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устройство, предназначенное для использования тепловой энергии, теплоносителя для нужд потребителя тепловой энергии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Единая теплоснабжающая организация в системе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widowControl w:val="false"/>
              <w:tabs>
                <w:tab w:val="clear" w:pos="708"/>
                <w:tab w:val="left" w:pos="360" w:leader="none"/>
              </w:tabs>
              <w:ind w:firstLine="22"/>
              <w:rPr/>
            </w:pPr>
            <w:r>
              <w:rPr>
                <w:rFonts w:cs="Times New Roman" w:ascii="Liberation Serif" w:hAnsi="Liberation Serif"/>
                <w:sz w:val="24"/>
                <w:szCs w:val="24"/>
              </w:rPr>
              <w:t xml:space="preserve">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hyperlink r:id="rId2" w:tooltip="Постановление Правительства РФ от 08.08.2012 N 808 (ред. от 27.05.2023) &quot;Об организации теплоснабжения в Российской Федерации и о внесении изменений в некоторые акты Правительства Российской Федерации&quot; (вместе с &quot;Правилами организации теплоснабжения в Российск">
              <w:r>
                <w:rPr>
                  <w:rStyle w:val="Style5"/>
                  <w:rFonts w:cs="Times New Roman" w:ascii="Liberation Serif" w:hAnsi="Liberation Serif"/>
                  <w:sz w:val="24"/>
                  <w:szCs w:val="24"/>
                </w:rPr>
                <w:t>критериев и в порядке</w:t>
              </w:r>
            </w:hyperlink>
            <w:r>
              <w:rPr>
                <w:rFonts w:cs="Times New Roman" w:ascii="Liberation Serif" w:hAnsi="Liberation Serif"/>
                <w:sz w:val="24"/>
                <w:szCs w:val="24"/>
              </w:rPr>
              <w:t>, которые установлены правилами организации теплоснабжения, утвержденными Правительством Российской Федерации;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Теплоснабжающая организация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Теплосетевая организация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Качество теплоснабжения</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Комбинированная выработка электрической и тепловой энергии</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sz w:val="24"/>
                <w:szCs w:val="24"/>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sz w:val="24"/>
                <w:szCs w:val="24"/>
              </w:rPr>
              <w:t>Теплосетевые объекты</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eastAsia="Arial" w:cs="Times New Roman" w:ascii="Liberation Serif" w:hAnsi="Liberation Serif"/>
                <w:sz w:val="24"/>
                <w:szCs w:val="24"/>
                <w:lang w:eastAsia="ar-SA"/>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r>
        <w:trPr>
          <w:trHeight w:val="284" w:hRule="atLeast"/>
        </w:trPr>
        <w:tc>
          <w:tcPr>
            <w:tcW w:w="2576" w:type="dxa"/>
            <w:tcBorders>
              <w:top w:val="single" w:sz="4" w:space="0" w:color="000000"/>
              <w:start w:val="single" w:sz="4" w:space="0" w:color="000000"/>
              <w:bottom w:val="single" w:sz="4" w:space="0" w:color="000000"/>
              <w:end w:val="single" w:sz="4" w:space="0" w:color="000000"/>
            </w:tcBorders>
            <w:vAlign w:val="center"/>
          </w:tcPr>
          <w:p>
            <w:pPr>
              <w:pStyle w:val="Normal"/>
              <w:ind w:firstLine="22"/>
              <w:jc w:val="center"/>
              <w:rPr>
                <w:rFonts w:ascii="Liberation Serif" w:hAnsi="Liberation Serif"/>
              </w:rPr>
            </w:pPr>
            <w:r>
              <w:rPr>
                <w:rFonts w:cs="Times New Roman" w:ascii="Liberation Serif" w:hAnsi="Liberation Serif"/>
                <w:bCs/>
                <w:sz w:val="24"/>
                <w:szCs w:val="24"/>
              </w:rPr>
              <w:t>Неснижаемый нормативный запас топлива (ННЗТ)</w:t>
            </w:r>
            <w:r>
              <w:rPr>
                <w:rFonts w:cs="Times New Roman" w:ascii="Liberation Serif" w:hAnsi="Liberation Serif"/>
                <w:sz w:val="24"/>
                <w:szCs w:val="24"/>
              </w:rPr>
              <w:t> на котельных</w:t>
            </w:r>
          </w:p>
        </w:tc>
        <w:tc>
          <w:tcPr>
            <w:tcW w:w="7255" w:type="dxa"/>
            <w:tcBorders>
              <w:top w:val="single" w:sz="4" w:space="0" w:color="000000"/>
              <w:start w:val="single" w:sz="4" w:space="0" w:color="000000"/>
              <w:bottom w:val="single" w:sz="4" w:space="0" w:color="000000"/>
              <w:end w:val="single" w:sz="4" w:space="0" w:color="000000"/>
            </w:tcBorders>
            <w:vAlign w:val="center"/>
          </w:tcPr>
          <w:p>
            <w:pPr>
              <w:pStyle w:val="Normal"/>
              <w:ind w:firstLine="22"/>
              <w:rPr>
                <w:rFonts w:ascii="Liberation Serif" w:hAnsi="Liberation Serif"/>
              </w:rPr>
            </w:pPr>
            <w:r>
              <w:rPr>
                <w:rFonts w:cs="Times New Roman" w:ascii="Liberation Serif" w:hAnsi="Liberation Serif"/>
                <w:color w:val="333333"/>
                <w:sz w:val="24"/>
                <w:szCs w:val="24"/>
                <w:shd w:fill="FFFFFF" w:val="clear"/>
              </w:rPr>
              <w:t> </w:t>
            </w:r>
            <w:r>
              <w:rPr>
                <w:rFonts w:eastAsia="Arial" w:cs="Times New Roman" w:ascii="Liberation Serif" w:hAnsi="Liberation Serif"/>
                <w:sz w:val="24"/>
                <w:szCs w:val="24"/>
                <w:lang w:eastAsia="ar-SA"/>
              </w:rPr>
              <w:t>запас, который обеспечивает поддержание плюсовых температур в отапливаемых помещениях, вспомогательных зданиях и сооружениях в режиме «выживания» с минимальной расчётной тепловой нагрузкой по условиям самого холодного месяца года, восстанавливается в утвержденном размере после ликвидации последствий аварийных ситуаций. Для котельных, работающих на газе, ННЗТ устанавливается по резервному топливу</w:t>
            </w:r>
          </w:p>
        </w:tc>
      </w:tr>
    </w:tbl>
    <w:p>
      <w:pPr>
        <w:pStyle w:val="Normal"/>
        <w:rPr>
          <w:rFonts w:ascii="Liberation Serif" w:hAnsi="Liberation Serif" w:cs="Times New Roman"/>
          <w:b/>
          <w:sz w:val="28"/>
          <w:szCs w:val="28"/>
        </w:rPr>
      </w:pPr>
      <w:r>
        <w:rPr>
          <w:rFonts w:cs="Times New Roman" w:ascii="Liberation Serif" w:hAnsi="Liberation Serif"/>
          <w:b/>
          <w:sz w:val="28"/>
          <w:szCs w:val="28"/>
        </w:rPr>
      </w:r>
    </w:p>
    <w:p>
      <w:pPr>
        <w:pStyle w:val="Normal"/>
        <w:spacing w:lineRule="auto" w:line="259" w:before="0" w:after="160"/>
        <w:ind w:hanging="0"/>
        <w:jc w:val="start"/>
        <w:rPr>
          <w:rFonts w:ascii="Liberation Serif" w:hAnsi="Liberation Serif" w:cs="Times New Roman"/>
          <w:b/>
          <w:sz w:val="28"/>
          <w:szCs w:val="28"/>
        </w:rPr>
      </w:pPr>
      <w:r>
        <w:rPr>
          <w:rFonts w:cs="Times New Roman" w:ascii="Liberation Serif" w:hAnsi="Liberation Serif"/>
          <w:b/>
          <w:sz w:val="28"/>
          <w:szCs w:val="28"/>
        </w:rPr>
      </w:r>
      <w:r>
        <w:br w:type="page"/>
      </w:r>
    </w:p>
    <w:p>
      <w:pPr>
        <w:pStyle w:val="Heading1"/>
        <w:spacing w:before="0" w:after="160"/>
        <w:rPr>
          <w:rFonts w:ascii="Liberation Serif" w:hAnsi="Liberation Serif"/>
          <w:sz w:val="24"/>
          <w:szCs w:val="24"/>
        </w:rPr>
      </w:pPr>
      <w:bookmarkStart w:id="5" w:name="_Toc215581904"/>
      <w:bookmarkStart w:id="6" w:name="_Toc194393517"/>
      <w:r>
        <w:rPr>
          <w:rFonts w:cs="Times New Roman" w:ascii="Liberation Serif" w:hAnsi="Liberation Serif"/>
          <w:b/>
          <w:color w:val="auto"/>
          <w:sz w:val="24"/>
          <w:szCs w:val="24"/>
        </w:rPr>
        <w:t>1 Общие положения</w:t>
      </w:r>
      <w:bookmarkEnd w:id="5"/>
      <w:bookmarkEnd w:id="6"/>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1.1 Настоящий Порядок действий по ликвидации последствий аварийных ситуаций в сфере теплоснабжения в муниципальном образовании «Тугулымский муниципальный округ»</w:t>
      </w:r>
      <w:r>
        <w:rPr>
          <w:rFonts w:ascii="Liberation Serif" w:hAnsi="Liberation Serif"/>
          <w:b/>
          <w:sz w:val="24"/>
          <w:szCs w:val="24"/>
        </w:rPr>
        <w:t xml:space="preserve"> </w:t>
      </w:r>
      <w:r>
        <w:rPr>
          <w:rFonts w:ascii="Liberation Serif" w:hAnsi="Liberation Serif"/>
          <w:sz w:val="24"/>
          <w:szCs w:val="24"/>
        </w:rPr>
        <w:t xml:space="preserve">(далее - Порядок) разработан </w:t>
      </w:r>
      <w:r>
        <w:rPr>
          <w:rFonts w:ascii="Liberation Serif" w:hAnsi="Liberation Serif"/>
          <w:color w:val="000000"/>
          <w:sz w:val="24"/>
          <w:szCs w:val="24"/>
          <w:shd w:fill="FFFFFF" w:val="clear"/>
        </w:rPr>
        <w:t xml:space="preserve">с учётом порядков (планов) действий по ликвидации последствий аварийных ситуаций в сфере теплоснабжения теплоснабжающих организаций, теплосетевых организаций (приложение № 1), владельцев тепловых сетей, не являющихся теплосетевыми организациями, а также </w:t>
      </w:r>
      <w:r>
        <w:rPr>
          <w:rFonts w:ascii="Liberation Serif" w:hAnsi="Liberation Serif"/>
          <w:sz w:val="24"/>
          <w:szCs w:val="24"/>
        </w:rPr>
        <w:t>в соответствии с законодательством Российской Федерации, нормами и правилами в сфере предоставления жилищно-коммунальных услуг потребителям на основании:</w:t>
      </w:r>
    </w:p>
    <w:p>
      <w:pPr>
        <w:pStyle w:val="formattext"/>
        <w:spacing w:lineRule="auto" w:line="360" w:beforeAutospacing="0" w:before="0" w:afterAutospacing="0" w:after="0"/>
        <w:ind w:firstLine="709"/>
        <w:jc w:val="both"/>
        <w:textAlignment w:val="baseline"/>
        <w:rPr/>
      </w:pPr>
      <w:r>
        <w:fldChar w:fldCharType="begin"/>
      </w:r>
      <w:r>
        <w:rPr>
          <w:rStyle w:val="Hyperlink"/>
          <w:rFonts w:ascii="Liberation Serif" w:hAnsi="Liberation Serif"/>
          <w:color w:val="auto"/>
          <w:sz w:val="24"/>
          <w:szCs w:val="24"/>
          <w:u w:val="none"/>
        </w:rPr>
        <w:instrText xml:space="preserve"> HYPERLINK "https://docs.cntd.ru/document/902227764" \l "64U0IK"</w:instrText>
      </w:r>
      <w:r>
        <w:rPr>
          <w:rStyle w:val="Hyperlink"/>
          <w:rFonts w:ascii="Liberation Serif" w:hAnsi="Liberation Serif"/>
          <w:color w:val="auto"/>
          <w:sz w:val="24"/>
          <w:szCs w:val="24"/>
          <w:u w:val="none"/>
        </w:rPr>
        <w:fldChar w:fldCharType="separate"/>
      </w:r>
      <w:r>
        <w:rPr>
          <w:rStyle w:val="Hyperlink"/>
          <w:rFonts w:ascii="Liberation Serif" w:hAnsi="Liberation Serif"/>
          <w:color w:val="auto"/>
          <w:sz w:val="24"/>
          <w:szCs w:val="24"/>
          <w:u w:val="none"/>
        </w:rPr>
        <w:t>Федерального закона от 27.07.2010 № 190-ФЗ «О теплоснабжении»</w:t>
      </w:r>
      <w:r>
        <w:rPr>
          <w:rStyle w:val="Hyperlink"/>
          <w:rFonts w:ascii="Liberation Serif" w:hAnsi="Liberation Serif"/>
          <w:color w:val="auto"/>
          <w:sz w:val="24"/>
          <w:szCs w:val="24"/>
          <w:u w:val="none"/>
        </w:rPr>
        <w:fldChar w:fldCharType="end"/>
      </w:r>
      <w:r>
        <w:rPr>
          <w:rFonts w:ascii="Liberation Serif" w:hAnsi="Liberation Serif"/>
          <w:sz w:val="24"/>
          <w:szCs w:val="24"/>
        </w:rPr>
        <w:t>;</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Федерального закона от 21.07.1997 № 116-ФЗ «О промышленной безопасности опасных производственных объектов»;</w:t>
      </w:r>
    </w:p>
    <w:p>
      <w:pPr>
        <w:pStyle w:val="formattext"/>
        <w:spacing w:lineRule="auto" w:line="360" w:beforeAutospacing="0" w:before="0" w:afterAutospacing="0" w:after="0"/>
        <w:ind w:firstLine="709"/>
        <w:jc w:val="both"/>
        <w:textAlignment w:val="baseline"/>
        <w:rPr/>
      </w:pPr>
      <w:r>
        <w:fldChar w:fldCharType="begin"/>
      </w:r>
      <w:r>
        <w:rPr>
          <w:rStyle w:val="Hyperlink"/>
          <w:rFonts w:ascii="Liberation Serif" w:hAnsi="Liberation Serif"/>
          <w:color w:val="auto"/>
          <w:sz w:val="24"/>
          <w:szCs w:val="24"/>
          <w:u w:val="none"/>
        </w:rPr>
        <w:instrText xml:space="preserve"> HYPERLINK "https://docs.cntd.ru/document/901876063" \l "7D20K3"</w:instrText>
      </w:r>
      <w:r>
        <w:rPr>
          <w:rStyle w:val="Hyperlink"/>
          <w:rFonts w:ascii="Liberation Serif" w:hAnsi="Liberation Serif"/>
          <w:color w:val="auto"/>
          <w:sz w:val="24"/>
          <w:szCs w:val="24"/>
          <w:u w:val="none"/>
        </w:rPr>
        <w:fldChar w:fldCharType="separate"/>
      </w:r>
      <w:r>
        <w:rPr>
          <w:rStyle w:val="Hyperlink"/>
          <w:rFonts w:ascii="Liberation Serif" w:hAnsi="Liberation Serif"/>
          <w:color w:val="auto"/>
          <w:sz w:val="24"/>
          <w:szCs w:val="24"/>
          <w:u w:val="none"/>
        </w:rPr>
        <w:t>Федерального закона от 06.10.2003 № 131-ФЗ «Об общих принципах организации местного самоуправления в Российской Федерации»</w:t>
      </w:r>
      <w:r>
        <w:rPr>
          <w:rStyle w:val="Hyperlink"/>
          <w:rFonts w:ascii="Liberation Serif" w:hAnsi="Liberation Serif"/>
          <w:color w:val="auto"/>
          <w:sz w:val="24"/>
          <w:szCs w:val="24"/>
          <w:u w:val="none"/>
        </w:rPr>
        <w:fldChar w:fldCharType="end"/>
      </w:r>
      <w:r>
        <w:rPr>
          <w:rFonts w:ascii="Liberation Serif" w:hAnsi="Liberation Serif"/>
          <w:sz w:val="24"/>
          <w:szCs w:val="24"/>
        </w:rPr>
        <w:t>;</w:t>
      </w:r>
    </w:p>
    <w:p>
      <w:pPr>
        <w:pStyle w:val="formattext"/>
        <w:spacing w:lineRule="auto" w:line="360" w:beforeAutospacing="0" w:before="0" w:afterAutospacing="0" w:after="0"/>
        <w:ind w:firstLine="709"/>
        <w:jc w:val="both"/>
        <w:textAlignment w:val="baseline"/>
        <w:rPr/>
      </w:pPr>
      <w:hyperlink r:id="rId3">
        <w:r>
          <w:rPr>
            <w:rStyle w:val="Hyperlink"/>
            <w:rFonts w:ascii="Liberation Serif" w:hAnsi="Liberation Serif"/>
            <w:color w:val="auto"/>
            <w:sz w:val="24"/>
            <w:szCs w:val="24"/>
            <w:u w:val="none"/>
          </w:rPr>
          <w:t>Федерального закона от 21.12.1994 № 68-ФЗ «О защите населения и территорий от чрезвычайных ситуаций природного и техногенного характера»</w:t>
        </w:r>
      </w:hyperlink>
      <w:r>
        <w:rPr>
          <w:rFonts w:ascii="Liberation Serif" w:hAnsi="Liberation Serif"/>
          <w:sz w:val="24"/>
          <w:szCs w:val="24"/>
        </w:rPr>
        <w:t>;</w:t>
      </w:r>
    </w:p>
    <w:p>
      <w:pPr>
        <w:pStyle w:val="formattext"/>
        <w:spacing w:lineRule="auto" w:line="360" w:beforeAutospacing="0" w:before="0" w:afterAutospacing="0" w:after="0"/>
        <w:ind w:firstLine="709"/>
        <w:jc w:val="both"/>
        <w:textAlignment w:val="baseline"/>
        <w:rPr/>
      </w:pPr>
      <w:r>
        <w:fldChar w:fldCharType="begin"/>
      </w:r>
      <w:r>
        <w:rPr>
          <w:rStyle w:val="Hyperlink"/>
          <w:rFonts w:ascii="Liberation Serif" w:hAnsi="Liberation Serif"/>
          <w:color w:val="auto"/>
          <w:sz w:val="24"/>
          <w:szCs w:val="24"/>
          <w:u w:val="none"/>
        </w:rPr>
        <w:instrText xml:space="preserve"> HYPERLINK "https://docs.cntd.ru/document/902316140" \l "7D20K3"</w:instrText>
      </w:r>
      <w:r>
        <w:rPr>
          <w:rStyle w:val="Hyperlink"/>
          <w:rFonts w:ascii="Liberation Serif" w:hAnsi="Liberation Serif"/>
          <w:color w:val="auto"/>
          <w:sz w:val="24"/>
          <w:szCs w:val="24"/>
          <w:u w:val="none"/>
        </w:rPr>
        <w:fldChar w:fldCharType="separate"/>
      </w:r>
      <w:r>
        <w:rPr>
          <w:rStyle w:val="Hyperlink"/>
          <w:rFonts w:ascii="Liberation Serif" w:hAnsi="Liberation Serif"/>
          <w:color w:val="auto"/>
          <w:sz w:val="24"/>
          <w:szCs w:val="24"/>
          <w:u w:val="none"/>
        </w:rPr>
        <w:t>Федерального закона от 07.12.2011 № 416-ФЗ «О водоснабжении и водоотведении»</w:t>
      </w:r>
      <w:r>
        <w:rPr>
          <w:rStyle w:val="Hyperlink"/>
          <w:rFonts w:ascii="Liberation Serif" w:hAnsi="Liberation Serif"/>
          <w:color w:val="auto"/>
          <w:sz w:val="24"/>
          <w:szCs w:val="24"/>
          <w:u w:val="none"/>
        </w:rPr>
        <w:fldChar w:fldCharType="end"/>
      </w:r>
      <w:r>
        <w:rPr>
          <w:rFonts w:ascii="Liberation Serif" w:hAnsi="Liberation Serif"/>
          <w:sz w:val="24"/>
          <w:szCs w:val="24"/>
        </w:rPr>
        <w:t>;</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Постановления Правительства РФ от 02.06.2022 № 1014 «О расследовании причин аварийных ситуаций при теплоснабжении»;</w:t>
      </w:r>
    </w:p>
    <w:p>
      <w:pPr>
        <w:pStyle w:val="formattext"/>
        <w:spacing w:lineRule="auto" w:line="360" w:beforeAutospacing="0" w:before="0" w:afterAutospacing="0" w:after="0"/>
        <w:ind w:firstLine="709"/>
        <w:jc w:val="both"/>
        <w:textAlignment w:val="baseline"/>
        <w:rPr/>
      </w:pPr>
      <w:r>
        <w:fldChar w:fldCharType="begin"/>
      </w:r>
      <w:r>
        <w:rPr>
          <w:rStyle w:val="Hyperlink"/>
          <w:rFonts w:ascii="Liberation Serif" w:hAnsi="Liberation Serif"/>
          <w:color w:val="auto"/>
          <w:sz w:val="24"/>
          <w:szCs w:val="24"/>
          <w:u w:val="none"/>
        </w:rPr>
        <w:instrText xml:space="preserve"> HYPERLINK "https://docs.cntd.ru/document/902280037" \l "7D20K3"</w:instrText>
      </w:r>
      <w:r>
        <w:rPr>
          <w:rStyle w:val="Hyperlink"/>
          <w:rFonts w:ascii="Liberation Serif" w:hAnsi="Liberation Serif"/>
          <w:color w:val="auto"/>
          <w:sz w:val="24"/>
          <w:szCs w:val="24"/>
          <w:u w:val="none"/>
        </w:rPr>
        <w:fldChar w:fldCharType="separate"/>
      </w:r>
      <w:r>
        <w:rPr>
          <w:rStyle w:val="Hyperlink"/>
          <w:rFonts w:ascii="Liberation Serif" w:hAnsi="Liberation Serif"/>
          <w:color w:val="auto"/>
          <w:sz w:val="24"/>
          <w:szCs w:val="24"/>
          <w:u w:val="none"/>
        </w:rPr>
        <w:t>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r>
        <w:rPr>
          <w:rStyle w:val="Hyperlink"/>
          <w:rFonts w:ascii="Liberation Serif" w:hAnsi="Liberation Serif"/>
          <w:color w:val="auto"/>
          <w:sz w:val="24"/>
          <w:szCs w:val="24"/>
          <w:u w:val="none"/>
        </w:rPr>
        <w:fldChar w:fldCharType="end"/>
      </w:r>
      <w:r>
        <w:rPr>
          <w:rStyle w:val="Hyperlink"/>
          <w:rFonts w:ascii="Liberation Serif" w:hAnsi="Liberation Serif"/>
          <w:color w:val="auto"/>
          <w:sz w:val="24"/>
          <w:szCs w:val="24"/>
          <w:u w:val="none"/>
        </w:rPr>
        <w:t xml:space="preserve"> (далее – Постановление № 354)</w:t>
      </w:r>
      <w:r>
        <w:rPr>
          <w:rFonts w:ascii="Liberation Serif" w:hAnsi="Liberation Serif"/>
          <w:sz w:val="24"/>
          <w:szCs w:val="24"/>
        </w:rPr>
        <w:t>;</w:t>
      </w:r>
    </w:p>
    <w:p>
      <w:pPr>
        <w:pStyle w:val="formattext"/>
        <w:spacing w:lineRule="auto" w:line="360" w:beforeAutospacing="0" w:before="0" w:afterAutospacing="0" w:after="0"/>
        <w:ind w:firstLine="709"/>
        <w:jc w:val="both"/>
        <w:textAlignment w:val="baseline"/>
        <w:rPr/>
      </w:pPr>
      <w:hyperlink r:id="rId4">
        <w:r>
          <w:rPr>
            <w:rStyle w:val="Hyperlink"/>
            <w:rFonts w:ascii="Liberation Serif" w:hAnsi="Liberation Serif"/>
            <w:color w:val="auto"/>
            <w:sz w:val="24"/>
            <w:szCs w:val="24"/>
            <w:u w:val="none"/>
          </w:rPr>
          <w:t>Постановления Правительства Российской Федерации от 30.12.2003 № 794 «О единой государственной системе предупреждения и ликвидации чрезвычайных ситуаций»</w:t>
        </w:r>
      </w:hyperlink>
      <w:r>
        <w:rPr>
          <w:rFonts w:ascii="Liberation Serif" w:hAnsi="Liberation Serif"/>
          <w:sz w:val="24"/>
          <w:szCs w:val="24"/>
        </w:rPr>
        <w:t>.</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Приказа Минэнерго России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Постановления Правительства РФ от 15.09.2020 № 1437 "Об утверждении Положения о разработке планов мероприятий по локализации и ликвидации последствий аварий на опасных производственных объектах".</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Закона Свердловской области от 27 декабря 2004 года № 221-ОЗ «О защите населения и территорий Свердловской области от чрезвычайных ситуаций природного и техногенного характера»;</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Постановления Правительства Свердловской области от 28.02.2005 № 139-ПП «О Свердловской областной подсистеме единой государственной системе предупреждения и ликвидации чрезвычайных ситуаций;</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Постановления Правительства Свердловской области от 13.06.2019 № 358-ПП «О порядке функционирования единых дежурно-диспетчерских служб в Свердловской области»;</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Постановления Правительства Свердловской области от 04.02.2021 № 44-ПП «Об утверждении Порядка сбора и обмена информацией по вопросам защиты населения и территорий от чрезвычайных ситуаций природного и техногенного характера на территории Свердловской области»</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Согласования Министерства общественной безопасности Свердловской области;</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Согласования Министерства энергетики и жилищно-коммунального хозяйства Свердловской области.</w:t>
      </w:r>
    </w:p>
    <w:p>
      <w:pPr>
        <w:pStyle w:val="formattext"/>
        <w:spacing w:lineRule="auto" w:line="360" w:beforeAutospacing="0" w:before="0" w:afterAutospacing="0" w:after="0"/>
        <w:ind w:firstLineChars="257"/>
        <w:jc w:val="both"/>
        <w:textAlignment w:val="baseline"/>
        <w:rPr>
          <w:rFonts w:ascii="Liberation Serif" w:hAnsi="Liberation Serif"/>
          <w:sz w:val="24"/>
          <w:szCs w:val="24"/>
        </w:rPr>
      </w:pPr>
      <w:r>
        <w:rPr>
          <w:rFonts w:ascii="Liberation Serif" w:hAnsi="Liberation Serif"/>
          <w:sz w:val="24"/>
          <w:szCs w:val="24"/>
        </w:rPr>
        <w:t>Согласования теплоснабжающих и теплосетевых организаций, осуществляющих деятельность на территории МО.</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xml:space="preserve">1.2 Действие настоящего Порядка устанавливает правоотношения при организации взаимодействия по предотвращению и ликвидации последствий аварийных ситуаций между организациями теплоснабжения, электроснабжения, газоснабжения, водоснабжения и водоотведения, осуществляющими деятельность на территории муниципального образования «Тугулымский муниципальный округ Свердловской области». </w:t>
      </w:r>
      <w:r>
        <w:rPr>
          <w:rFonts w:ascii="Liberation Serif" w:hAnsi="Liberation Serif"/>
          <w:i/>
          <w:color w:val="FF0000"/>
          <w:sz w:val="24"/>
          <w:szCs w:val="24"/>
        </w:rPr>
        <w:t xml:space="preserve"> </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1.3 В настоящем порядке 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полному или частичному ограничению режима потребления тепловой энергии, согласно Постановлению Правительства РФ от 02.06.2022 № 1014 «О расследовании причин аварийных ситуаций при теплоснабжении». В соответствии                                         с Федеральным законом от 21.07.1997 № 116-ФЗ «О промышленной безопасности опасных производственных объектов» под аварийной ситуацией понимается - разрушение сооружений и (или) технических устройств, применяемых на опасном производственном объекте.</w:t>
      </w:r>
    </w:p>
    <w:p>
      <w:pPr>
        <w:pStyle w:val="Normal"/>
        <w:rPr>
          <w:rFonts w:ascii="Liberation Serif" w:hAnsi="Liberation Serif"/>
          <w:sz w:val="24"/>
          <w:szCs w:val="24"/>
        </w:rPr>
      </w:pPr>
      <w:r>
        <w:rPr>
          <w:rFonts w:cs="Times New Roman" w:ascii="Liberation Serif" w:hAnsi="Liberation Serif"/>
          <w:sz w:val="24"/>
          <w:szCs w:val="24"/>
        </w:rPr>
        <w:t xml:space="preserve">1.4 </w:t>
      </w:r>
      <w:r>
        <w:rPr>
          <w:rFonts w:eastAsia="Times New Roman" w:cs="Times New Roman" w:ascii="Liberation Serif" w:hAnsi="Liberation Serif"/>
          <w:sz w:val="24"/>
          <w:szCs w:val="24"/>
          <w:lang w:eastAsia="ru-RU"/>
        </w:rPr>
        <w:t>К перечню возможных последствий аварийных ситуаций на объектах теплоснабжения относятся:</w:t>
      </w:r>
    </w:p>
    <w:p>
      <w:pPr>
        <w:pStyle w:val="Normal"/>
        <w:rPr>
          <w:rFonts w:ascii="Liberation Serif" w:hAnsi="Liberation Serif"/>
          <w:sz w:val="24"/>
          <w:szCs w:val="24"/>
        </w:rPr>
      </w:pPr>
      <w:r>
        <w:rPr>
          <w:rFonts w:eastAsia="Times New Roman" w:cs="Times New Roman" w:ascii="Liberation Serif" w:hAnsi="Liberation Serif"/>
          <w:sz w:val="24"/>
          <w:szCs w:val="24"/>
          <w:lang w:eastAsia="ru-RU"/>
        </w:rPr>
        <w:t>- кратковременное нарушение теплоснабжения;</w:t>
      </w:r>
    </w:p>
    <w:p>
      <w:pPr>
        <w:pStyle w:val="Normal"/>
        <w:rPr>
          <w:rFonts w:ascii="Liberation Serif" w:hAnsi="Liberation Serif"/>
          <w:sz w:val="24"/>
          <w:szCs w:val="24"/>
        </w:rPr>
      </w:pPr>
      <w:r>
        <w:rPr>
          <w:rFonts w:eastAsia="Times New Roman" w:cs="Times New Roman" w:ascii="Liberation Serif" w:hAnsi="Liberation Serif"/>
          <w:sz w:val="24"/>
          <w:szCs w:val="24"/>
          <w:lang w:eastAsia="ru-RU"/>
        </w:rPr>
        <w:t>- полное ограничение режима потребления тепловой энергии;</w:t>
      </w:r>
    </w:p>
    <w:p>
      <w:pPr>
        <w:pStyle w:val="Normal"/>
        <w:rPr>
          <w:rFonts w:ascii="Liberation Serif" w:hAnsi="Liberation Serif"/>
          <w:sz w:val="24"/>
          <w:szCs w:val="24"/>
        </w:rPr>
      </w:pPr>
      <w:r>
        <w:rPr>
          <w:rFonts w:eastAsia="Times New Roman" w:cs="Times New Roman" w:ascii="Liberation Serif" w:hAnsi="Liberation Serif"/>
          <w:sz w:val="24"/>
          <w:szCs w:val="24"/>
          <w:lang w:eastAsia="ru-RU"/>
        </w:rPr>
        <w:t>- отсутствие теплоснабжения у потребителей более 24 часов;</w:t>
      </w:r>
    </w:p>
    <w:p>
      <w:pPr>
        <w:pStyle w:val="Normal"/>
        <w:rPr>
          <w:rFonts w:ascii="Liberation Serif" w:hAnsi="Liberation Serif"/>
          <w:sz w:val="24"/>
          <w:szCs w:val="24"/>
        </w:rPr>
      </w:pPr>
      <w:r>
        <w:rPr>
          <w:rFonts w:eastAsia="Times New Roman" w:cs="Times New Roman" w:ascii="Liberation Serif" w:hAnsi="Liberation Serif"/>
          <w:sz w:val="24"/>
          <w:szCs w:val="24"/>
          <w:lang w:eastAsia="ru-RU"/>
        </w:rPr>
        <w:t>-разрушение объектов теплоснабжения (тепловых источников, тепловых пунктов, насосных станций, тепловых сетей);</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причинение вреда третьим лицам.</w:t>
      </w:r>
    </w:p>
    <w:p>
      <w:pPr>
        <w:pStyle w:val="Heading1"/>
        <w:spacing w:before="160" w:after="160"/>
        <w:rPr>
          <w:rFonts w:ascii="Liberation Serif" w:hAnsi="Liberation Serif"/>
          <w:sz w:val="24"/>
          <w:szCs w:val="24"/>
        </w:rPr>
      </w:pPr>
      <w:bookmarkStart w:id="7" w:name="_Toc215581905"/>
      <w:bookmarkStart w:id="8" w:name="_Toc194393518"/>
      <w:r>
        <w:rPr>
          <w:rFonts w:cs="Times New Roman" w:ascii="Liberation Serif" w:hAnsi="Liberation Serif"/>
          <w:b/>
          <w:color w:val="auto"/>
          <w:sz w:val="24"/>
          <w:szCs w:val="24"/>
        </w:rPr>
        <w:t>2. Цели</w:t>
      </w:r>
      <w:bookmarkEnd w:id="7"/>
      <w:bookmarkEnd w:id="8"/>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1.Повышение эффективности, устойчивости и надежности функционирования объектов системы теплоснабжения;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2. Сокращение сроков ликвидации аварийных ситуаций.</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3.Организация оперативного взаимодействия организаций, участвующих в ликвидации аварийных ситуаций на объектах теплоснабжения и теплопотребления, с целью устранения их последствий;</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xml:space="preserve">4.Предупреждение развития нештатной (аварийной) ситуации по негативному сценарию. </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5.Снижение уровня последствий аварийных ситуаций в системе централизованного теплоснабжения</w:t>
      </w:r>
      <w:bookmarkStart w:id="9" w:name="_Toc194393519"/>
    </w:p>
    <w:p>
      <w:pPr>
        <w:pStyle w:val="Heading1"/>
        <w:spacing w:before="160" w:after="160"/>
        <w:rPr>
          <w:rFonts w:ascii="Liberation Serif" w:hAnsi="Liberation Serif"/>
          <w:sz w:val="24"/>
          <w:szCs w:val="24"/>
        </w:rPr>
      </w:pPr>
      <w:bookmarkStart w:id="10" w:name="_Toc215581906"/>
      <w:r>
        <w:rPr>
          <w:rFonts w:cs="Times New Roman" w:ascii="Liberation Serif" w:hAnsi="Liberation Serif"/>
          <w:b/>
          <w:color w:val="auto"/>
          <w:sz w:val="24"/>
          <w:szCs w:val="24"/>
        </w:rPr>
        <w:t>3. Задачи</w:t>
      </w:r>
      <w:bookmarkEnd w:id="9"/>
      <w:bookmarkEnd w:id="10"/>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 Обеспечение теплоснабжением потребителей, поддержание необходимых параметров теплоносителя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2. Координация деятельности администрации Тугулымского муниципального округа, управляющих компаний и ресурсоснабжающих организаций, при решении вопросов, связанных с ликвидацией аварийных ситуаций на системах теплоснабжения с применением электронного моделирования таковых.</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3. Мобилизация ресурсов всех инженерных служб Тугулымского муниципального округа для ликвидации последствий аварийных ситуаций в системе централизованного теплоснабжения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4. Обеспечение (определение алгоритма) функционирования объектов теплоснабжения и теплопотребления при возникновении, а также в период ликвидации аварийной ситуации.</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5. Информирование ответственных лиц о возможных аварийных ситуациях с указанием причин их возникновения и действиям по ликвидации последствий.</w:t>
      </w:r>
    </w:p>
    <w:p>
      <w:pPr>
        <w:pStyle w:val="Heading1"/>
        <w:spacing w:before="160" w:after="160"/>
        <w:rPr>
          <w:rFonts w:ascii="Liberation Serif" w:hAnsi="Liberation Serif"/>
          <w:sz w:val="24"/>
          <w:szCs w:val="24"/>
        </w:rPr>
      </w:pPr>
      <w:bookmarkStart w:id="11" w:name="_Toc215581907"/>
      <w:r>
        <w:rPr>
          <w:rFonts w:cs="Times New Roman" w:ascii="Liberation Serif" w:hAnsi="Liberation Serif"/>
          <w:b/>
          <w:color w:val="auto"/>
          <w:sz w:val="24"/>
          <w:szCs w:val="24"/>
        </w:rPr>
        <w:t xml:space="preserve">4. </w:t>
      </w:r>
      <w:bookmarkStart w:id="12" w:name="Краткая"/>
      <w:bookmarkStart w:id="13" w:name="_Toc193125373"/>
      <w:bookmarkStart w:id="14" w:name="_Toc117526054"/>
      <w:bookmarkStart w:id="15" w:name="_Toc494275796"/>
      <w:r>
        <w:rPr>
          <w:rFonts w:cs="Times New Roman" w:ascii="Liberation Serif" w:hAnsi="Liberation Serif"/>
          <w:b/>
          <w:color w:val="auto"/>
          <w:sz w:val="24"/>
          <w:szCs w:val="24"/>
        </w:rPr>
        <w:t xml:space="preserve">Краткая характеристика </w:t>
      </w:r>
      <w:bookmarkEnd w:id="15"/>
      <w:r>
        <w:rPr>
          <w:rFonts w:cs="Times New Roman" w:ascii="Liberation Serif" w:hAnsi="Liberation Serif"/>
          <w:b/>
          <w:color w:val="auto"/>
          <w:sz w:val="24"/>
          <w:szCs w:val="24"/>
        </w:rPr>
        <w:t>муниципального образования</w:t>
      </w:r>
      <w:bookmarkEnd w:id="13"/>
      <w:bookmarkEnd w:id="14"/>
      <w:r>
        <w:rPr>
          <w:rFonts w:cs="Times New Roman" w:ascii="Liberation Serif" w:hAnsi="Liberation Serif"/>
          <w:b/>
          <w:color w:val="auto"/>
          <w:sz w:val="24"/>
          <w:szCs w:val="24"/>
        </w:rPr>
        <w:t xml:space="preserve"> «Тугулымский муниципальный округ Свердловской области»</w:t>
      </w:r>
      <w:bookmarkStart w:id="16" w:name="Административное"/>
      <w:bookmarkStart w:id="17" w:name="_Toc193125374"/>
      <w:bookmarkStart w:id="18" w:name="_Toc117526055"/>
      <w:bookmarkStart w:id="19" w:name="_Toc494275798"/>
      <w:bookmarkEnd w:id="11"/>
    </w:p>
    <w:p>
      <w:pPr>
        <w:pStyle w:val="Normal"/>
        <w:rPr>
          <w:rFonts w:ascii="Liberation Serif" w:hAnsi="Liberation Serif"/>
          <w:sz w:val="24"/>
          <w:szCs w:val="24"/>
        </w:rPr>
      </w:pPr>
      <w:r>
        <w:rPr>
          <w:rFonts w:cs="Times New Roman" w:ascii="Liberation Serif" w:hAnsi="Liberation Serif"/>
          <w:b/>
          <w:sz w:val="24"/>
          <w:szCs w:val="24"/>
        </w:rPr>
        <w:t>4.1.</w:t>
      </w:r>
      <w:r>
        <w:rPr>
          <w:rFonts w:eastAsia="Arial" w:cs="Times New Roman" w:ascii="Liberation Serif" w:hAnsi="Liberation Serif"/>
          <w:b/>
          <w:sz w:val="24"/>
          <w:szCs w:val="24"/>
        </w:rPr>
        <w:t xml:space="preserve"> </w:t>
      </w:r>
      <w:r>
        <w:rPr>
          <w:rFonts w:cs="Times New Roman" w:ascii="Liberation Serif" w:hAnsi="Liberation Serif"/>
          <w:b/>
          <w:sz w:val="24"/>
          <w:szCs w:val="24"/>
        </w:rPr>
        <w:t xml:space="preserve">Административное деление, население и населённые пункты Тугулымского муниципального округа </w:t>
      </w:r>
    </w:p>
    <w:p>
      <w:pPr>
        <w:pStyle w:val="Normal"/>
        <w:rPr>
          <w:rFonts w:ascii="Liberation Serif" w:hAnsi="Liberation Serif"/>
          <w:sz w:val="24"/>
          <w:szCs w:val="24"/>
        </w:rPr>
      </w:pPr>
      <w:r>
        <w:rPr>
          <w:rFonts w:cs="Times New Roman" w:ascii="Liberation Serif" w:hAnsi="Liberation Serif"/>
          <w:sz w:val="24"/>
          <w:szCs w:val="24"/>
        </w:rPr>
        <w:t>Муниципальное образование Тугулымский муниципальный округ наделено статусом муниципального округа Законом Свердловской области «О наделении отдельных городских округов, расположенных на территории Свердловской области, статусом муниципального округа» от 26.03.2024 № 24-ОЗ.</w:t>
      </w:r>
      <w:r>
        <w:rPr>
          <w:rFonts w:cs="Times New Roman" w:ascii="Liberation Serif" w:hAnsi="Liberation Serif"/>
          <w:color w:val="FF0000"/>
          <w:sz w:val="24"/>
          <w:szCs w:val="24"/>
        </w:rPr>
        <w:t xml:space="preserve"> </w:t>
      </w:r>
    </w:p>
    <w:p>
      <w:pPr>
        <w:pStyle w:val="Normal"/>
        <w:rPr>
          <w:rFonts w:ascii="Liberation Serif" w:hAnsi="Liberation Serif"/>
          <w:sz w:val="24"/>
          <w:szCs w:val="24"/>
        </w:rPr>
      </w:pPr>
      <w:r>
        <w:rPr>
          <w:rFonts w:cs="Times New Roman" w:ascii="Liberation Serif" w:hAnsi="Liberation Serif"/>
          <w:sz w:val="24"/>
          <w:szCs w:val="24"/>
        </w:rPr>
        <w:t>Тугулымский муниципальный округ расположен на юго-востоке Свердловской области. На севере муниципальный округ граничит с муниципальным образованием Байкаловское сельское поселение, на востоке - с Тюменской областью, на юге - с Курганской областью, на западе - с Талицким муниципальным округом.</w:t>
      </w:r>
    </w:p>
    <w:p>
      <w:pPr>
        <w:pStyle w:val="Normal"/>
        <w:rPr>
          <w:rFonts w:ascii="Liberation Serif" w:hAnsi="Liberation Serif"/>
          <w:sz w:val="24"/>
          <w:szCs w:val="24"/>
        </w:rPr>
      </w:pPr>
      <w:r>
        <w:rPr>
          <w:rFonts w:cs="Times New Roman" w:ascii="Liberation Serif" w:hAnsi="Liberation Serif"/>
          <w:sz w:val="24"/>
          <w:szCs w:val="24"/>
        </w:rPr>
        <w:t>Тугулымский муниципальный округ расположен в зоне умеренного континентального климата с суровой морозной зимой и относительно теплым летом. Большая часть территории округа, с расположенными на ней селами и поселками, окружена хвойными и смешанными лесами. Поверхностные воды на территории Тугулымского муниципального округа представлены основной рекой Пышмой (правый приток р. Туры) и небольшими реками, являющимися ее притоками с севера - Айба, Тугулымка, Малый Кармак, Еленка, Юшала, с юга - Беляковка, Балда. Из озер в районе имеется лишь два: небольшое озеро Термигуль и озеро Гурино. Из искусственно созданных водоемов следует отметить Ветлачихинский, Тугулымский, Скородумский, Ертарский и Заводоуспенский пруды.</w:t>
      </w:r>
    </w:p>
    <w:p>
      <w:pPr>
        <w:pStyle w:val="Normal"/>
        <w:rPr>
          <w:rFonts w:ascii="Liberation Serif" w:hAnsi="Liberation Serif"/>
          <w:sz w:val="24"/>
          <w:szCs w:val="24"/>
        </w:rPr>
      </w:pPr>
      <w:r>
        <w:rPr>
          <w:rFonts w:cs="Times New Roman" w:ascii="Liberation Serif" w:hAnsi="Liberation Serif"/>
          <w:sz w:val="24"/>
          <w:szCs w:val="24"/>
        </w:rPr>
        <w:t>В состав территории муниципального округа входят 52 населенных пункта: пгт. Тугулым (административный центр Тугулымского муниципального округа), п. Тугулым, д. Александровка, п. Бахметское, д. Большой Рамыл, д. Бочкари, с. Верховино, д. Галашова, д. Гилёва, д. Гурина, д. Двинская, с. Дёмино, д. Дубровина, п. Ертарский, д. Журавлёва, п. Заводоуспенское, д. Золотова, с. Зубково, с. Ивановка, д. Калачики, п. Кармак, д. Колобова, д. Комарова, д. Луговая, п. Луговской, с. Лучинкино, д. Малахова, д. Малый Рамыл, с. Мальцево, д. Месед, п. Месяды, д. Мостовщики, д. Нижняя Коркина, д. Остров, с. Ошкуково, д. Пилигримова, д. Полудёнка, д. Полушина, д. Потаскуева, д. Сажина, с. Трошково, д. Тямкина, д. Филина, с. Фоминское, д. Цепошникова, д. Чураки, д. Щелконогова, п. Щелконоговский, п. Юшала, д. Юшкова, д. Ядрышникова, с. Яр.</w:t>
      </w:r>
    </w:p>
    <w:p>
      <w:pPr>
        <w:pStyle w:val="Normal"/>
        <w:rPr>
          <w:rFonts w:ascii="Liberation Serif" w:hAnsi="Liberation Serif"/>
          <w:sz w:val="24"/>
          <w:szCs w:val="24"/>
        </w:rPr>
      </w:pPr>
      <w:r>
        <w:rPr>
          <w:rFonts w:cs="Times New Roman" w:ascii="Liberation Serif" w:hAnsi="Liberation Serif"/>
          <w:sz w:val="24"/>
          <w:szCs w:val="24"/>
        </w:rPr>
        <w:t>Численность населения в Тугулымском муниципальном округе на 1 января 2026 года составляет 16 205 человек, численность в пгт. Тугулым – 5 765 человек.</w:t>
      </w:r>
    </w:p>
    <w:p>
      <w:pPr>
        <w:pStyle w:val="Normal"/>
        <w:rPr>
          <w:rFonts w:ascii="Liberation Serif" w:hAnsi="Liberation Serif"/>
          <w:sz w:val="24"/>
          <w:szCs w:val="24"/>
        </w:rPr>
      </w:pPr>
      <w:r>
        <w:rPr>
          <w:rFonts w:cs="Times New Roman" w:ascii="Liberation Serif" w:hAnsi="Liberation Serif"/>
          <w:sz w:val="24"/>
          <w:szCs w:val="24"/>
        </w:rPr>
        <w:t>На территории муниципального образования наибольшее количество населенных пунктов сосредоточено в центральной и восточной частях. Это обусловлено тем фактором, что территорию Тугулымского муниципального округа с запада на восток, в центральной части, пересекает железная дорога (Екатеринбург-Тюмень) и автомобильная дорога Р351 «Екатеринбург-Тюмень».</w:t>
      </w:r>
    </w:p>
    <w:p>
      <w:pPr>
        <w:pStyle w:val="Normal"/>
        <w:jc w:val="center"/>
        <w:rPr>
          <w:rFonts w:ascii="Liberation Serif" w:hAnsi="Liberation Serif"/>
          <w:sz w:val="24"/>
          <w:szCs w:val="24"/>
        </w:rPr>
      </w:pPr>
      <w:r>
        <w:rPr>
          <w:rFonts w:ascii="Liberation Serif" w:hAnsi="Liberation Serif"/>
          <w:sz w:val="24"/>
          <w:szCs w:val="24"/>
        </w:rPr>
        <w:drawing>
          <wp:inline distT="0" distB="0" distL="0" distR="0">
            <wp:extent cx="3143250" cy="3800475"/>
            <wp:effectExtent l="0" t="0" r="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7"/>
                    <pic:cNvPicPr>
                      <a:picLocks noChangeAspect="1" noChangeArrowheads="1"/>
                    </pic:cNvPicPr>
                  </pic:nvPicPr>
                  <pic:blipFill>
                    <a:blip r:embed="rId5"/>
                    <a:stretch>
                      <a:fillRect/>
                    </a:stretch>
                  </pic:blipFill>
                  <pic:spPr bwMode="auto">
                    <a:xfrm>
                      <a:off x="0" y="0"/>
                      <a:ext cx="3143250" cy="3800475"/>
                    </a:xfrm>
                    <a:prstGeom prst="rect">
                      <a:avLst/>
                    </a:prstGeom>
                    <a:noFill/>
                  </pic:spPr>
                </pic:pic>
              </a:graphicData>
            </a:graphic>
          </wp:inline>
        </w:drawing>
      </w:r>
    </w:p>
    <w:p>
      <w:pPr>
        <w:pStyle w:val="Normal"/>
        <w:jc w:val="center"/>
        <w:rPr>
          <w:rFonts w:ascii="Liberation Serif" w:hAnsi="Liberation Serif"/>
          <w:sz w:val="24"/>
          <w:szCs w:val="24"/>
        </w:rPr>
      </w:pPr>
      <w:r>
        <w:rPr>
          <w:rFonts w:cs="Times New Roman" w:ascii="Liberation Serif" w:hAnsi="Liberation Serif"/>
          <w:i/>
          <w:iCs/>
          <w:sz w:val="24"/>
          <w:szCs w:val="24"/>
        </w:rPr>
        <w:t>Рисунок 1. Месторасположение Тугулымского муниципального округа в пределах Свердловской области</w:t>
      </w:r>
    </w:p>
    <w:p>
      <w:pPr>
        <w:pStyle w:val="Normal"/>
        <w:rPr>
          <w:rFonts w:ascii="Liberation Serif" w:hAnsi="Liberation Serif"/>
          <w:sz w:val="24"/>
          <w:szCs w:val="24"/>
        </w:rPr>
      </w:pPr>
      <w:r>
        <w:rPr>
          <w:rFonts w:cs="Times New Roman" w:ascii="Liberation Serif" w:hAnsi="Liberation Serif"/>
          <w:b/>
          <w:sz w:val="24"/>
          <w:szCs w:val="24"/>
        </w:rPr>
        <w:t>4.2.</w:t>
      </w:r>
      <w:r>
        <w:rPr>
          <w:rFonts w:eastAsia="Arial" w:cs="Times New Roman" w:ascii="Liberation Serif" w:hAnsi="Liberation Serif"/>
          <w:b/>
          <w:sz w:val="24"/>
          <w:szCs w:val="24"/>
        </w:rPr>
        <w:t xml:space="preserve"> </w:t>
      </w:r>
      <w:r>
        <w:rPr>
          <w:rFonts w:cs="Times New Roman" w:ascii="Liberation Serif" w:hAnsi="Liberation Serif"/>
          <w:b/>
          <w:sz w:val="24"/>
          <w:szCs w:val="24"/>
        </w:rPr>
        <w:t xml:space="preserve">Климат и погодно-климатические явления, оказывающие влияние на эксплуатацию тепловых сетей </w:t>
      </w:r>
    </w:p>
    <w:p>
      <w:pPr>
        <w:pStyle w:val="Normal"/>
        <w:rPr>
          <w:rFonts w:ascii="Liberation Serif" w:hAnsi="Liberation Serif"/>
          <w:sz w:val="24"/>
          <w:szCs w:val="24"/>
        </w:rPr>
      </w:pPr>
      <w:r>
        <w:rPr>
          <w:rFonts w:cs="Times New Roman" w:ascii="Liberation Serif" w:hAnsi="Liberation Serif"/>
          <w:sz w:val="24"/>
          <w:szCs w:val="24"/>
        </w:rPr>
        <w:t>Тугулымский муниципальный округ расположен в зоне континентального климата с холодной продолжительной зимой и коротким теплым летом.</w:t>
      </w:r>
    </w:p>
    <w:p>
      <w:pPr>
        <w:pStyle w:val="Normal"/>
        <w:rPr>
          <w:rFonts w:ascii="Liberation Serif" w:hAnsi="Liberation Serif"/>
          <w:sz w:val="24"/>
          <w:szCs w:val="24"/>
        </w:rPr>
      </w:pPr>
      <w:r>
        <w:rPr>
          <w:rFonts w:cs="Times New Roman" w:ascii="Liberation Serif" w:hAnsi="Liberation Serif"/>
          <w:sz w:val="24"/>
          <w:szCs w:val="24"/>
        </w:rPr>
        <w:t>По климатическому районированию Свердловской области Тугулымский район относится к IV-V климатическим районам, которые отличаются от других климатических районов Свердловской области лучшей обеспеченностью теплом и меньшей влагообеспеченностью за вегетационный период.</w:t>
      </w:r>
    </w:p>
    <w:p>
      <w:pPr>
        <w:pStyle w:val="Normal"/>
        <w:rPr>
          <w:rFonts w:ascii="Liberation Serif" w:hAnsi="Liberation Serif"/>
          <w:sz w:val="24"/>
          <w:szCs w:val="24"/>
        </w:rPr>
      </w:pPr>
      <w:r>
        <w:rPr>
          <w:rFonts w:cs="Times New Roman" w:ascii="Liberation Serif" w:hAnsi="Liberation Serif"/>
          <w:sz w:val="24"/>
          <w:szCs w:val="24"/>
        </w:rPr>
        <w:t>Средняя месячная температура воздуха характеризуется показателями, которые представлены в Таблице 1.</w:t>
      </w:r>
    </w:p>
    <w:p>
      <w:pPr>
        <w:pStyle w:val="Normal"/>
        <w:rPr>
          <w:rFonts w:ascii="Liberation Serif" w:hAnsi="Liberation Serif"/>
          <w:sz w:val="24"/>
          <w:szCs w:val="24"/>
        </w:rPr>
      </w:pPr>
      <w:r>
        <w:rPr>
          <w:rFonts w:cs="Times New Roman" w:ascii="Liberation Serif" w:hAnsi="Liberation Serif"/>
          <w:sz w:val="24"/>
          <w:szCs w:val="24"/>
        </w:rPr>
        <w:t>Таблица 1. Среднемесячные показатели температуры, °С Тугулымского муниципального округа</w:t>
      </w:r>
    </w:p>
    <w:tbl>
      <w:tblPr>
        <w:tblStyle w:val="a9"/>
        <w:tblW w:w="10089" w:type="dxa"/>
        <w:jc w:val="start"/>
        <w:tblInd w:w="-5" w:type="dxa"/>
        <w:tblLayout w:type="fixed"/>
        <w:tblCellMar>
          <w:top w:w="0" w:type="dxa"/>
          <w:start w:w="108" w:type="dxa"/>
          <w:bottom w:w="0" w:type="dxa"/>
          <w:end w:w="108" w:type="dxa"/>
        </w:tblCellMar>
        <w:tblLook w:val="04a0" w:noHBand="0" w:noVBand="1" w:firstColumn="1" w:lastRow="0" w:lastColumn="0" w:firstRow="1"/>
      </w:tblPr>
      <w:tblGrid>
        <w:gridCol w:w="824"/>
        <w:gridCol w:w="824"/>
        <w:gridCol w:w="814"/>
        <w:gridCol w:w="827"/>
        <w:gridCol w:w="875"/>
        <w:gridCol w:w="877"/>
        <w:gridCol w:w="876"/>
        <w:gridCol w:w="875"/>
        <w:gridCol w:w="828"/>
        <w:gridCol w:w="826"/>
        <w:gridCol w:w="816"/>
        <w:gridCol w:w="827"/>
      </w:tblGrid>
      <w:tr>
        <w:trPr/>
        <w:tc>
          <w:tcPr>
            <w:tcW w:w="824"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I </w:t>
            </w:r>
          </w:p>
        </w:tc>
        <w:tc>
          <w:tcPr>
            <w:tcW w:w="824"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II </w:t>
            </w:r>
          </w:p>
        </w:tc>
        <w:tc>
          <w:tcPr>
            <w:tcW w:w="814"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III </w:t>
            </w:r>
          </w:p>
        </w:tc>
        <w:tc>
          <w:tcPr>
            <w:tcW w:w="827"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IV </w:t>
            </w:r>
          </w:p>
        </w:tc>
        <w:tc>
          <w:tcPr>
            <w:tcW w:w="875"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V </w:t>
            </w:r>
          </w:p>
        </w:tc>
        <w:tc>
          <w:tcPr>
            <w:tcW w:w="877"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VI </w:t>
            </w:r>
          </w:p>
        </w:tc>
        <w:tc>
          <w:tcPr>
            <w:tcW w:w="876"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VII </w:t>
            </w:r>
          </w:p>
        </w:tc>
        <w:tc>
          <w:tcPr>
            <w:tcW w:w="875"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VIII </w:t>
            </w:r>
          </w:p>
        </w:tc>
        <w:tc>
          <w:tcPr>
            <w:tcW w:w="828"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IX </w:t>
            </w:r>
          </w:p>
        </w:tc>
        <w:tc>
          <w:tcPr>
            <w:tcW w:w="826"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X </w:t>
            </w:r>
          </w:p>
        </w:tc>
        <w:tc>
          <w:tcPr>
            <w:tcW w:w="816"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XI </w:t>
            </w:r>
          </w:p>
        </w:tc>
        <w:tc>
          <w:tcPr>
            <w:tcW w:w="827"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b/>
                <w:bCs/>
                <w:kern w:val="0"/>
                <w:sz w:val="24"/>
                <w:szCs w:val="24"/>
                <w:lang w:val="ru-RU" w:eastAsia="en-US" w:bidi="ar-SA"/>
              </w:rPr>
              <w:t xml:space="preserve">XII </w:t>
            </w:r>
          </w:p>
        </w:tc>
      </w:tr>
      <w:tr>
        <w:trPr/>
        <w:tc>
          <w:tcPr>
            <w:tcW w:w="824"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-17.4 </w:t>
            </w:r>
          </w:p>
        </w:tc>
        <w:tc>
          <w:tcPr>
            <w:tcW w:w="824"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-15.6 </w:t>
            </w:r>
          </w:p>
        </w:tc>
        <w:tc>
          <w:tcPr>
            <w:tcW w:w="814"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-8.7 </w:t>
            </w:r>
          </w:p>
        </w:tc>
        <w:tc>
          <w:tcPr>
            <w:tcW w:w="827"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+2.4 </w:t>
            </w:r>
          </w:p>
        </w:tc>
        <w:tc>
          <w:tcPr>
            <w:tcW w:w="875"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+10.3 </w:t>
            </w:r>
          </w:p>
        </w:tc>
        <w:tc>
          <w:tcPr>
            <w:tcW w:w="877"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+15.9 </w:t>
            </w:r>
          </w:p>
        </w:tc>
        <w:tc>
          <w:tcPr>
            <w:tcW w:w="876"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+17.6 </w:t>
            </w:r>
          </w:p>
        </w:tc>
        <w:tc>
          <w:tcPr>
            <w:tcW w:w="875"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+15.2 </w:t>
            </w:r>
          </w:p>
        </w:tc>
        <w:tc>
          <w:tcPr>
            <w:tcW w:w="828"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+9.2 </w:t>
            </w:r>
          </w:p>
        </w:tc>
        <w:tc>
          <w:tcPr>
            <w:tcW w:w="826"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+1.4 </w:t>
            </w:r>
          </w:p>
        </w:tc>
        <w:tc>
          <w:tcPr>
            <w:tcW w:w="816"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-8.0 </w:t>
            </w:r>
          </w:p>
        </w:tc>
        <w:tc>
          <w:tcPr>
            <w:tcW w:w="827" w:type="dxa"/>
            <w:tcBorders/>
          </w:tcPr>
          <w:p>
            <w:pPr>
              <w:pStyle w:val="Normal"/>
              <w:widowControl/>
              <w:spacing w:before="0" w:after="136"/>
              <w:ind w:hanging="0" w:end="12"/>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-15.1 </w:t>
            </w:r>
          </w:p>
        </w:tc>
      </w:tr>
    </w:tbl>
    <w:p>
      <w:pPr>
        <w:pStyle w:val="Normal"/>
        <w:rPr>
          <w:rFonts w:ascii="Liberation Serif" w:hAnsi="Liberation Serif" w:cs="Times New Roman"/>
          <w:sz w:val="24"/>
          <w:szCs w:val="24"/>
        </w:rPr>
      </w:pPr>
      <w:r>
        <w:rPr>
          <w:rFonts w:cs="Times New Roman" w:ascii="Liberation Serif" w:hAnsi="Liberation Serif"/>
          <w:sz w:val="24"/>
          <w:szCs w:val="24"/>
        </w:rPr>
      </w:r>
    </w:p>
    <w:p>
      <w:pPr>
        <w:pStyle w:val="Normal"/>
        <w:rPr>
          <w:rFonts w:ascii="Liberation Serif" w:hAnsi="Liberation Serif"/>
          <w:sz w:val="24"/>
          <w:szCs w:val="24"/>
        </w:rPr>
      </w:pPr>
      <w:r>
        <w:rPr>
          <w:rFonts w:cs="Times New Roman" w:ascii="Liberation Serif" w:hAnsi="Liberation Serif"/>
          <w:sz w:val="24"/>
          <w:szCs w:val="24"/>
        </w:rPr>
        <w:t>Из таблицы 1 видно, что самым холодным месяцем в году является январь, а самым теплым - июль. Зимой морозы могут достигать до -49 °С, но бывают зимой и оттепели, иногда с переходом температуры через 0°С. Максимальная температура летом достигает +39 °С, но не исключены и резкие похолодания. Среднегодовая температура, с учетом предельных показателей, составляет +10 °С. Общая продолжительность зимы около 6-ти месяцев, начиная с третьей декады декабря.</w:t>
      </w:r>
    </w:p>
    <w:p>
      <w:pPr>
        <w:pStyle w:val="Normal"/>
        <w:rPr>
          <w:rFonts w:ascii="Liberation Serif" w:hAnsi="Liberation Serif"/>
          <w:sz w:val="24"/>
          <w:szCs w:val="24"/>
        </w:rPr>
      </w:pPr>
      <w:r>
        <w:rPr>
          <w:rFonts w:cs="Times New Roman" w:ascii="Liberation Serif" w:hAnsi="Liberation Serif"/>
          <w:sz w:val="24"/>
          <w:szCs w:val="24"/>
        </w:rPr>
        <w:t>Переход температуры весной через +5 °С приходится на третью декаду апреля, а осенью этот показатель выпадает на первую декаду октября. Следовательно, продолжительность вегетационного периода составляет около 160 дней.</w:t>
      </w:r>
    </w:p>
    <w:p>
      <w:pPr>
        <w:pStyle w:val="Normal"/>
        <w:rPr>
          <w:rFonts w:ascii="Liberation Serif" w:hAnsi="Liberation Serif"/>
          <w:sz w:val="24"/>
          <w:szCs w:val="24"/>
        </w:rPr>
      </w:pPr>
      <w:r>
        <w:rPr>
          <w:rFonts w:cs="Times New Roman" w:ascii="Liberation Serif" w:hAnsi="Liberation Serif"/>
          <w:sz w:val="24"/>
          <w:szCs w:val="24"/>
        </w:rPr>
        <w:t>Продолжительность отопительного периода (средняя температура -6.5 °С) - 225-230 дней. Продолжительность солнечного сияния: январь - 70 часов, июль 280 часов, за год 2 000 часов.</w:t>
      </w:r>
    </w:p>
    <w:p>
      <w:pPr>
        <w:pStyle w:val="Normal"/>
        <w:rPr>
          <w:rFonts w:ascii="Liberation Serif" w:hAnsi="Liberation Serif"/>
          <w:sz w:val="24"/>
          <w:szCs w:val="24"/>
        </w:rPr>
      </w:pPr>
      <w:r>
        <w:rPr>
          <w:rFonts w:cs="Times New Roman" w:ascii="Liberation Serif" w:hAnsi="Liberation Serif"/>
          <w:sz w:val="24"/>
          <w:szCs w:val="24"/>
        </w:rPr>
        <w:t>Средние даты установления и схода устойчивого снежного покрова приходятся на третью декаду декабря и 10 апреля.</w:t>
      </w:r>
    </w:p>
    <w:p>
      <w:pPr>
        <w:pStyle w:val="Normal"/>
        <w:rPr>
          <w:rFonts w:ascii="Liberation Serif" w:hAnsi="Liberation Serif"/>
          <w:sz w:val="24"/>
          <w:szCs w:val="24"/>
        </w:rPr>
      </w:pPr>
      <w:r>
        <w:rPr>
          <w:rFonts w:cs="Times New Roman" w:ascii="Liberation Serif" w:hAnsi="Liberation Serif"/>
          <w:sz w:val="24"/>
          <w:szCs w:val="24"/>
        </w:rPr>
        <w:t>Средняя высота снежного покрова из наибольших декадных высот за зиму - 38 см (открытое место), 56 см (защищенное место). Число дней со снежным покровом - 150.</w:t>
      </w:r>
    </w:p>
    <w:p>
      <w:pPr>
        <w:pStyle w:val="Normal"/>
        <w:rPr>
          <w:rFonts w:ascii="Liberation Serif" w:hAnsi="Liberation Serif"/>
          <w:sz w:val="24"/>
          <w:szCs w:val="24"/>
        </w:rPr>
      </w:pPr>
      <w:r>
        <w:rPr>
          <w:rFonts w:cs="Times New Roman" w:ascii="Liberation Serif" w:hAnsi="Liberation Serif"/>
          <w:sz w:val="24"/>
          <w:szCs w:val="24"/>
        </w:rPr>
        <w:t>Своей наибольшей высоты снежный покров достигает в марте - 42 см. Глубина промерзания почвы составляет около 125 см. Замерзание почвы, обычно, начинается с октября, а оттаивание начинается под пологом леса с первой декады апреля и заканчивается, обычно, в первой декаде мая. Атмосферные осадки выпадают в количестве 415 мм.</w:t>
      </w:r>
    </w:p>
    <w:p>
      <w:pPr>
        <w:pStyle w:val="Normal"/>
        <w:rPr>
          <w:rFonts w:ascii="Liberation Serif" w:hAnsi="Liberation Serif"/>
          <w:sz w:val="24"/>
          <w:szCs w:val="24"/>
        </w:rPr>
      </w:pPr>
      <w:r>
        <w:rPr>
          <w:rFonts w:cs="Times New Roman" w:ascii="Liberation Serif" w:hAnsi="Liberation Serif"/>
          <w:sz w:val="24"/>
          <w:szCs w:val="24"/>
        </w:rPr>
        <w:t>Климатические характеристики Тугулымского муниципального округа, представленные в Таблице 2, принимаются в соответствии с СП 131.13330.2025 Свод правил «Строительная климатология. СНиП 23-01-99*».</w:t>
      </w:r>
    </w:p>
    <w:p>
      <w:pPr>
        <w:pStyle w:val="Normal"/>
        <w:rPr>
          <w:rFonts w:ascii="Liberation Serif" w:hAnsi="Liberation Serif"/>
          <w:sz w:val="24"/>
          <w:szCs w:val="24"/>
        </w:rPr>
      </w:pPr>
      <w:r>
        <w:rPr>
          <w:rFonts w:cs="Times New Roman" w:ascii="Liberation Serif" w:hAnsi="Liberation Serif"/>
          <w:sz w:val="24"/>
          <w:szCs w:val="24"/>
        </w:rPr>
        <w:t>Таблица 2. Расчетные данные климатической зоны Тугулымского муниципального округа</w:t>
      </w:r>
    </w:p>
    <w:tbl>
      <w:tblPr>
        <w:tblStyle w:val="a9"/>
        <w:tblW w:w="9362" w:type="dxa"/>
        <w:jc w:val="start"/>
        <w:tblInd w:w="-5" w:type="dxa"/>
        <w:tblLayout w:type="fixed"/>
        <w:tblCellMar>
          <w:top w:w="0" w:type="dxa"/>
          <w:start w:w="108" w:type="dxa"/>
          <w:bottom w:w="0" w:type="dxa"/>
          <w:end w:w="108" w:type="dxa"/>
        </w:tblCellMar>
        <w:tblLook w:val="04a0" w:noHBand="0" w:noVBand="1" w:firstColumn="1" w:lastRow="0" w:lastColumn="0" w:firstRow="1"/>
      </w:tblPr>
      <w:tblGrid>
        <w:gridCol w:w="3327"/>
        <w:gridCol w:w="3331"/>
        <w:gridCol w:w="2685"/>
        <w:gridCol w:w="7"/>
        <w:gridCol w:w="12"/>
      </w:tblGrid>
      <w:tr>
        <w:trPr>
          <w:trHeight w:val="204"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Наименование расчетных параметров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Единица измерения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Расчетное значение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88"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1. Климатические параметры холодного периода года </w:t>
            </w:r>
          </w:p>
        </w:tc>
        <w:tc>
          <w:tcPr>
            <w:tcW w:w="3331"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704" w:type="dxa"/>
            <w:gridSpan w:val="3"/>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Абсолютная минимальная температура воздуха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-46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Температура воздуха наиболее холодных суток: </w:t>
            </w:r>
          </w:p>
        </w:tc>
        <w:tc>
          <w:tcPr>
            <w:tcW w:w="3331"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704" w:type="dxa"/>
            <w:gridSpan w:val="3"/>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обеспеченностью 0,98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-43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обеспеченностью 0,92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-39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Температура воздуха наиболее холодной пятидневки: </w:t>
            </w:r>
          </w:p>
        </w:tc>
        <w:tc>
          <w:tcPr>
            <w:tcW w:w="3331"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704" w:type="dxa"/>
            <w:gridSpan w:val="3"/>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обеспеченностью 0,98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-38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88"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 обеспеченностью 0,92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-35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204"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Средняя месячная относительная влажность воздуха наиболее холодного месяца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78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Количество осадков за ноябрь – март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мм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121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Преобладающее направление ветра за декабрь – февраль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Ю</w:t>
            </w:r>
          </w:p>
        </w:tc>
        <w:tc>
          <w:tcPr>
            <w:tcW w:w="2685"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7"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w:t>
            </w:r>
            <w:r>
              <w:rPr>
                <w:rFonts w:eastAsia="" w:cs="Times New Roman" w:ascii="Liberation Serif" w:hAnsi="Liberation Serif" w:eastAsiaTheme="minorEastAsia"/>
                <w:kern w:val="0"/>
                <w:sz w:val="24"/>
                <w:szCs w:val="24"/>
                <w:lang w:val="ru-RU" w:eastAsia="en-US" w:bidi="ar-SA"/>
              </w:rPr>
              <w:t xml:space="preserve">Продолжительность отопительного периода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сут.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237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Средняя температура воздуха в отопительный период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-5,2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88"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2. Климатические параметры теплого периода года </w:t>
            </w:r>
          </w:p>
        </w:tc>
        <w:tc>
          <w:tcPr>
            <w:tcW w:w="3331"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685"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7"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Абсолютная максимальная температура воздуха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39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Температура воздуха: </w:t>
            </w:r>
          </w:p>
        </w:tc>
        <w:tc>
          <w:tcPr>
            <w:tcW w:w="3331"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685" w:type="dxa"/>
            <w:tcBorders>
              <w:top w:val="nil"/>
              <w:bottom w:val="nil"/>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7"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обеспеченностью 0,98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27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обеспеченностью 0,95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23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205"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Средняя максимальная температура воздуха наиболее теплого месяца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24,9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205"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Средняя месячная относительная влажность воздуха наиболее теплого месяца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72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Количество осадков за апрель – октябрь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мм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361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Суточный максимум осадков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мм </w:t>
            </w:r>
          </w:p>
        </w:tc>
        <w:tc>
          <w:tcPr>
            <w:tcW w:w="2692" w:type="dxa"/>
            <w:gridSpan w:val="2"/>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72 </w:t>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90"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Преобладающее направление ветра за июнь–август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kern w:val="0"/>
                <w:sz w:val="24"/>
                <w:szCs w:val="24"/>
                <w:lang w:val="ru-RU" w:eastAsia="en-US" w:bidi="ar-SA"/>
              </w:rPr>
              <w:t xml:space="preserve">С </w:t>
            </w:r>
          </w:p>
        </w:tc>
        <w:tc>
          <w:tcPr>
            <w:tcW w:w="2685" w:type="dxa"/>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7"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r>
        <w:trPr>
          <w:trHeight w:val="88" w:hRule="atLeast"/>
        </w:trPr>
        <w:tc>
          <w:tcPr>
            <w:tcW w:w="3327"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Строительно-климатическая зона </w:t>
            </w:r>
          </w:p>
        </w:tc>
        <w:tc>
          <w:tcPr>
            <w:tcW w:w="333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 w:cs="Times New Roman" w:ascii="Liberation Serif" w:hAnsi="Liberation Serif" w:eastAsiaTheme="minorEastAsia"/>
                <w:b/>
                <w:bCs/>
                <w:kern w:val="0"/>
                <w:sz w:val="24"/>
                <w:szCs w:val="24"/>
                <w:lang w:val="ru-RU" w:eastAsia="en-US" w:bidi="ar-SA"/>
              </w:rPr>
              <w:t xml:space="preserve">IВ </w:t>
            </w:r>
          </w:p>
        </w:tc>
        <w:tc>
          <w:tcPr>
            <w:tcW w:w="2685" w:type="dxa"/>
            <w:tcBorders/>
            <w:shd w:color="auto" w:fill="auto" w:val="clear"/>
          </w:tcPr>
          <w:p>
            <w:pPr>
              <w:pStyle w:val="Normal"/>
              <w:widowControl/>
              <w:spacing w:lineRule="auto" w:line="259" w:before="0" w:after="160"/>
              <w:ind w:hanging="0"/>
              <w:jc w:val="start"/>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7"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c>
          <w:tcPr>
            <w:tcW w:w="12" w:type="dxa"/>
            <w:tcBorders>
              <w:top w:val="nil"/>
              <w:start w:val="nil"/>
              <w:bottom w:val="nil"/>
              <w:end w:val="nil"/>
            </w:tcBorders>
          </w:tcPr>
          <w:p>
            <w:pPr>
              <w:pStyle w:val="Normal"/>
              <w:widowControl/>
              <w:spacing w:lineRule="atLeast" w:line="0"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r>
          </w:p>
        </w:tc>
      </w:tr>
    </w:tbl>
    <w:p>
      <w:pPr>
        <w:pStyle w:val="Normal"/>
        <w:rPr>
          <w:rFonts w:ascii="Liberation Serif" w:hAnsi="Liberation Serif" w:cs="Times New Roman"/>
          <w:sz w:val="24"/>
          <w:szCs w:val="24"/>
        </w:rPr>
      </w:pPr>
      <w:r>
        <w:rPr>
          <w:rFonts w:cs="Times New Roman" w:ascii="Liberation Serif" w:hAnsi="Liberation Serif"/>
          <w:sz w:val="24"/>
          <w:szCs w:val="24"/>
        </w:rPr>
      </w:r>
    </w:p>
    <w:p>
      <w:pPr>
        <w:pStyle w:val="Heading1"/>
        <w:spacing w:before="160" w:after="160"/>
        <w:rPr>
          <w:rFonts w:ascii="Liberation Serif" w:hAnsi="Liberation Serif"/>
          <w:sz w:val="24"/>
          <w:szCs w:val="24"/>
        </w:rPr>
      </w:pPr>
      <w:bookmarkStart w:id="20" w:name="_Toc215581908"/>
      <w:bookmarkStart w:id="21" w:name="_Toc194393520"/>
      <w:bookmarkEnd w:id="12"/>
      <w:bookmarkEnd w:id="16"/>
      <w:bookmarkEnd w:id="17"/>
      <w:bookmarkEnd w:id="18"/>
      <w:bookmarkEnd w:id="19"/>
      <w:bookmarkEnd w:id="21"/>
      <w:r>
        <w:rPr>
          <w:rFonts w:cs="Times New Roman" w:ascii="Liberation Serif" w:hAnsi="Liberation Serif"/>
          <w:b/>
          <w:color w:val="auto"/>
          <w:sz w:val="24"/>
          <w:szCs w:val="24"/>
        </w:rPr>
        <w:t>5. Основные задачи и функции единой дежурно-диспетчерской службы Тугулымского муниципального округа</w:t>
      </w:r>
      <w:bookmarkEnd w:id="20"/>
    </w:p>
    <w:p>
      <w:pPr>
        <w:pStyle w:val="Normal"/>
        <w:rPr>
          <w:rFonts w:ascii="Liberation Serif" w:hAnsi="Liberation Serif"/>
          <w:sz w:val="24"/>
          <w:szCs w:val="24"/>
        </w:rPr>
      </w:pPr>
      <w:r>
        <w:rPr>
          <w:rFonts w:eastAsia="Times New Roman" w:cs="Times New Roman" w:ascii="Liberation Serif" w:hAnsi="Liberation Serif"/>
          <w:sz w:val="24"/>
          <w:szCs w:val="24"/>
        </w:rPr>
        <w:t>5.1 Ежедневная организация взаимодействия с дежурными службами теплоснабжающих и теплосетевых организаций, проверка готовности сил и средств, предназначенных для ликвидации чрезвычайных ситуаций (происшествий).</w:t>
      </w:r>
    </w:p>
    <w:p>
      <w:pPr>
        <w:pStyle w:val="Normal"/>
        <w:rPr>
          <w:rFonts w:ascii="Liberation Serif" w:hAnsi="Liberation Serif"/>
          <w:sz w:val="24"/>
          <w:szCs w:val="24"/>
        </w:rPr>
      </w:pPr>
      <w:r>
        <w:rPr>
          <w:rFonts w:eastAsia="Times New Roman" w:cs="Times New Roman" w:ascii="Liberation Serif" w:hAnsi="Liberation Serif"/>
          <w:sz w:val="24"/>
          <w:szCs w:val="24"/>
        </w:rPr>
        <w:t>5.2 При поступлении информации об аварийной (чрезвычайной) ситуации, сложившейся на системах теплоснабжения, необходимо:</w:t>
      </w:r>
    </w:p>
    <w:p>
      <w:pPr>
        <w:pStyle w:val="Normal"/>
        <w:rPr>
          <w:rFonts w:ascii="Liberation Serif" w:hAnsi="Liberation Serif"/>
          <w:sz w:val="24"/>
          <w:szCs w:val="24"/>
        </w:rPr>
      </w:pPr>
      <w:r>
        <w:rPr>
          <w:rFonts w:eastAsia="Times New Roman" w:cs="Times New Roman" w:ascii="Liberation Serif" w:hAnsi="Liberation Serif"/>
          <w:sz w:val="24"/>
          <w:szCs w:val="24"/>
        </w:rPr>
        <w:t>5.2.1 организовать сбора данных об обстановке в районе аварии (происшествия);</w:t>
      </w:r>
    </w:p>
    <w:p>
      <w:pPr>
        <w:pStyle w:val="Normal"/>
        <w:rPr>
          <w:rFonts w:ascii="Liberation Serif" w:hAnsi="Liberation Serif"/>
          <w:sz w:val="24"/>
          <w:szCs w:val="24"/>
        </w:rPr>
      </w:pPr>
      <w:r>
        <w:rPr>
          <w:rFonts w:eastAsia="Times New Roman" w:cs="Times New Roman" w:ascii="Liberation Serif" w:hAnsi="Liberation Serif"/>
          <w:sz w:val="24"/>
          <w:szCs w:val="24"/>
        </w:rPr>
        <w:t>5.2.2 своевременно оповестить и проинформировать руководящий состав органа местного самоуправления, органов управления областной РСЧС муниципального уровня, органов управления и сил ГО, ДДС, организаций и населения об угрозе возникновения или возникновении ЧС (аварии);</w:t>
      </w:r>
    </w:p>
    <w:p>
      <w:pPr>
        <w:pStyle w:val="Normal"/>
        <w:rPr>
          <w:rFonts w:ascii="Liberation Serif" w:hAnsi="Liberation Serif"/>
          <w:sz w:val="24"/>
          <w:szCs w:val="24"/>
        </w:rPr>
      </w:pPr>
      <w:r>
        <w:rPr>
          <w:rFonts w:eastAsia="Times New Roman" w:cs="Times New Roman" w:ascii="Liberation Serif" w:hAnsi="Liberation Serif"/>
          <w:sz w:val="24"/>
          <w:szCs w:val="24"/>
        </w:rPr>
        <w:t>5.2.3 проинформировать ДДС и силы областной РСЧС, привлекаемых к ликвидации ЧС (аварии), об обстановке, принятых и рекомендуемых мерах;</w:t>
      </w:r>
    </w:p>
    <w:p>
      <w:pPr>
        <w:pStyle w:val="Normal"/>
        <w:rPr>
          <w:rFonts w:ascii="Liberation Serif" w:hAnsi="Liberation Serif"/>
          <w:sz w:val="24"/>
          <w:szCs w:val="24"/>
        </w:rPr>
      </w:pPr>
      <w:r>
        <w:rPr>
          <w:rFonts w:eastAsia="Times New Roman" w:cs="Times New Roman" w:ascii="Liberation Serif" w:hAnsi="Liberation Serif"/>
          <w:sz w:val="24"/>
          <w:szCs w:val="24"/>
        </w:rPr>
        <w:t>5.2.4 обеспечить своевременное оповещение и информирования населения о ЧС (происшествиях) по решению руководителя органа управления (председателя КЧС органа местного самоуправления);</w:t>
      </w:r>
    </w:p>
    <w:p>
      <w:pPr>
        <w:pStyle w:val="Normal"/>
        <w:rPr>
          <w:rFonts w:ascii="Liberation Serif" w:hAnsi="Liberation Serif"/>
          <w:sz w:val="24"/>
          <w:szCs w:val="24"/>
        </w:rPr>
      </w:pPr>
      <w:r>
        <w:rPr>
          <w:rFonts w:eastAsia="Times New Roman" w:cs="Times New Roman" w:ascii="Liberation Serif" w:hAnsi="Liberation Serif"/>
          <w:sz w:val="24"/>
          <w:szCs w:val="24"/>
        </w:rPr>
        <w:t>5.2.5 уточнить и координировать действий, привлеченных ДДС по их совместному реагированию на сообщение о ЧС (аварии);</w:t>
      </w:r>
    </w:p>
    <w:p>
      <w:pPr>
        <w:pStyle w:val="Normal"/>
        <w:rPr>
          <w:rFonts w:ascii="Liberation Serif" w:hAnsi="Liberation Serif"/>
          <w:sz w:val="24"/>
          <w:szCs w:val="24"/>
        </w:rPr>
      </w:pPr>
      <w:r>
        <w:rPr>
          <w:rFonts w:eastAsia="Times New Roman" w:cs="Times New Roman" w:ascii="Liberation Serif" w:hAnsi="Liberation Serif"/>
          <w:sz w:val="24"/>
          <w:szCs w:val="24"/>
        </w:rPr>
        <w:t>5.2.6 представить оперативную информацию о произошедшем ЧС (аварии), ходе работ по ликвидации, а также соответствующе доклады (донесения) по подчиненности в установленном порядке.</w:t>
      </w:r>
      <w:bookmarkStart w:id="22" w:name="_Toc215581909"/>
      <w:bookmarkStart w:id="23" w:name="_Toc194393523"/>
    </w:p>
    <w:p>
      <w:pPr>
        <w:pStyle w:val="Normal"/>
        <w:rPr>
          <w:rFonts w:ascii="Liberation Serif" w:hAnsi="Liberation Serif"/>
          <w:sz w:val="24"/>
          <w:szCs w:val="24"/>
        </w:rPr>
      </w:pPr>
      <w:r>
        <w:rPr>
          <w:rFonts w:cs="Times New Roman" w:ascii="Liberation Serif" w:hAnsi="Liberation Serif"/>
          <w:b/>
          <w:sz w:val="24"/>
          <w:szCs w:val="24"/>
        </w:rPr>
        <w:t>6. Теплоснабжающие и теплосетевые организации</w:t>
      </w:r>
      <w:bookmarkEnd w:id="23"/>
      <w:r>
        <w:rPr>
          <w:rFonts w:cs="Times New Roman" w:ascii="Liberation Serif" w:hAnsi="Liberation Serif"/>
          <w:b/>
          <w:sz w:val="24"/>
          <w:szCs w:val="24"/>
        </w:rPr>
        <w:t xml:space="preserve"> Тугулымского муниципального округа</w:t>
      </w:r>
      <w:bookmarkEnd w:id="22"/>
    </w:p>
    <w:p>
      <w:pPr>
        <w:pStyle w:val="Normal"/>
        <w:rPr>
          <w:rFonts w:ascii="Liberation Serif" w:hAnsi="Liberation Serif"/>
          <w:sz w:val="24"/>
          <w:szCs w:val="24"/>
        </w:rPr>
      </w:pPr>
      <w:r>
        <w:rPr>
          <w:rFonts w:ascii="Liberation Serif" w:hAnsi="Liberation Serif"/>
          <w:sz w:val="24"/>
          <w:szCs w:val="24"/>
        </w:rPr>
        <w:t>Теплоснабжающими организациями в системе централизованного теплоснабжения Тугулымского муниципального округа являются АО «Объединенная теплоснабжающая компания» (далее – АО «ОТСК»), ООО «Юшалинская теплоэнергетическая компания» (далее – ООО «ЮТЭК»)., Муниципальное унитарное предприятие «Управление жилищно-коммунального хозяйства и автомобильного транспорта Тугулымского муниципального округа» (далее - МУП «УЖКХ и АТ ТМО»).</w:t>
      </w:r>
    </w:p>
    <w:p>
      <w:pPr>
        <w:pStyle w:val="Normal"/>
        <w:rPr>
          <w:rFonts w:ascii="Liberation Serif" w:hAnsi="Liberation Serif"/>
          <w:sz w:val="24"/>
          <w:szCs w:val="24"/>
        </w:rPr>
      </w:pPr>
      <w:r>
        <w:rPr>
          <w:rFonts w:ascii="Liberation Serif" w:hAnsi="Liberation Serif"/>
          <w:sz w:val="24"/>
          <w:szCs w:val="24"/>
        </w:rPr>
        <w:t xml:space="preserve">На основании Федерального закона от 27.07.2010 № 190-ФЗ  «О теплоснабжении» статус единой теплоснабжающей организации (далее - ЕТО) присвоен: АО «ОТСК», ООО «ЮТЭК» и МУП «УЖКХ и АТ ТМО» постановлением администрации Тугулымского муниципального округа от 22.12.2025 № 861 «Об определении единых теплоснабжающих организаций с установлением зон деятельности для централизованных систем теплоснабжения и горячего водоснабжения на территории Тугулымского муниципального округа». </w:t>
      </w:r>
    </w:p>
    <w:p>
      <w:pPr>
        <w:pStyle w:val="Normal"/>
        <w:rPr>
          <w:rFonts w:ascii="Liberation Serif" w:hAnsi="Liberation Serif"/>
          <w:sz w:val="24"/>
          <w:szCs w:val="24"/>
        </w:rPr>
      </w:pPr>
      <w:r>
        <w:rPr>
          <w:rFonts w:ascii="Liberation Serif" w:hAnsi="Liberation Serif"/>
          <w:sz w:val="24"/>
          <w:szCs w:val="24"/>
        </w:rPr>
        <w:t xml:space="preserve">Реестр ЕТО, содержащий перечень систем централизованного теплоснабжения, представлен в таблице 3. </w:t>
      </w:r>
    </w:p>
    <w:p>
      <w:pPr>
        <w:pStyle w:val="Normal"/>
        <w:jc w:val="start"/>
        <w:rPr>
          <w:rFonts w:ascii="Liberation Serif" w:hAnsi="Liberation Serif"/>
          <w:sz w:val="24"/>
          <w:szCs w:val="24"/>
        </w:rPr>
      </w:pPr>
      <w:r>
        <w:rPr>
          <w:rFonts w:ascii="Liberation Serif" w:hAnsi="Liberation Serif"/>
          <w:bCs/>
          <w:iCs/>
          <w:sz w:val="24"/>
          <w:szCs w:val="24"/>
        </w:rPr>
        <w:t xml:space="preserve">Таблица 3. Реестр ЕТО, содержащий перечень систем теплоснабжения </w:t>
      </w:r>
    </w:p>
    <w:p>
      <w:pPr>
        <w:pStyle w:val="Normal"/>
        <w:spacing w:lineRule="auto" w:line="240"/>
        <w:jc w:val="start"/>
        <w:rPr>
          <w:rFonts w:ascii="Liberation Serif" w:hAnsi="Liberation Serif"/>
          <w:bCs/>
          <w:iCs/>
          <w:sz w:val="24"/>
          <w:szCs w:val="24"/>
        </w:rPr>
      </w:pPr>
      <w:r>
        <w:rPr>
          <w:rFonts w:ascii="Liberation Serif" w:hAnsi="Liberation Serif"/>
          <w:bCs/>
          <w:iCs/>
          <w:sz w:val="24"/>
          <w:szCs w:val="24"/>
        </w:rPr>
      </w:r>
    </w:p>
    <w:tbl>
      <w:tblPr>
        <w:tblStyle w:val="TableGrid"/>
        <w:tblW w:w="9351" w:type="dxa"/>
        <w:jc w:val="center"/>
        <w:tblInd w:w="0" w:type="dxa"/>
        <w:tblLayout w:type="fixed"/>
        <w:tblCellMar>
          <w:top w:w="53" w:type="dxa"/>
          <w:start w:w="149" w:type="dxa"/>
          <w:bottom w:w="0" w:type="dxa"/>
          <w:end w:w="98" w:type="dxa"/>
        </w:tblCellMar>
        <w:tblLook w:val="04a0" w:noHBand="0" w:noVBand="1" w:firstColumn="1" w:lastRow="0" w:lastColumn="0" w:firstRow="1"/>
      </w:tblPr>
      <w:tblGrid>
        <w:gridCol w:w="866"/>
        <w:gridCol w:w="2479"/>
        <w:gridCol w:w="3421"/>
        <w:gridCol w:w="2585"/>
      </w:tblGrid>
      <w:tr>
        <w:trPr>
          <w:trHeight w:val="838" w:hRule="atLeast"/>
        </w:trPr>
        <w:tc>
          <w:tcPr>
            <w:tcW w:w="866"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 </w:t>
            </w:r>
            <w:r>
              <w:rPr>
                <w:rFonts w:eastAsia="" w:cs="" w:ascii="Liberation Serif" w:hAnsi="Liberation Serif"/>
                <w:kern w:val="0"/>
                <w:sz w:val="24"/>
                <w:szCs w:val="24"/>
                <w:lang w:val="ru-RU" w:eastAsia="ru-RU" w:bidi="ar-SA"/>
              </w:rPr>
              <w:t xml:space="preserve">п/п </w:t>
            </w:r>
          </w:p>
        </w:tc>
        <w:tc>
          <w:tcPr>
            <w:tcW w:w="2479"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Наименование ЕТО </w:t>
            </w:r>
          </w:p>
        </w:tc>
        <w:tc>
          <w:tcPr>
            <w:tcW w:w="3421"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Системы теплоснабжения, входящие в зону действия ЕТО </w:t>
            </w:r>
          </w:p>
        </w:tc>
        <w:tc>
          <w:tcPr>
            <w:tcW w:w="258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Перечень источников, входящих в систему </w:t>
            </w:r>
          </w:p>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теплоснабжения </w:t>
            </w:r>
          </w:p>
        </w:tc>
      </w:tr>
      <w:tr>
        <w:trPr>
          <w:trHeight w:val="840" w:hRule="atLeast"/>
        </w:trPr>
        <w:tc>
          <w:tcPr>
            <w:tcW w:w="866"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1 </w:t>
            </w:r>
          </w:p>
        </w:tc>
        <w:tc>
          <w:tcPr>
            <w:tcW w:w="2479"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АО «ОТСК» </w:t>
            </w:r>
          </w:p>
        </w:tc>
        <w:tc>
          <w:tcPr>
            <w:tcW w:w="3421"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Система теплоснабжения Тугулымского муниципального округа (п.г.т. Тугулым (ул. Восточная, ул. Гагарина, ул. Дорожная, ул. Зеленая, ул. Красная, ул. Молодежная, ул. Олимпийская, ул. Полевая, ул. Федюнинского), п. Заводоуспенское, п. Луговской, с. Ошкуково, с. Яр, с. Зубково, с. Трошково)</w:t>
            </w:r>
          </w:p>
        </w:tc>
        <w:tc>
          <w:tcPr>
            <w:tcW w:w="258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12 котельных АО «ОТСК» </w:t>
            </w:r>
          </w:p>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r>
      <w:tr>
        <w:trPr>
          <w:trHeight w:val="870" w:hRule="atLeast"/>
        </w:trPr>
        <w:tc>
          <w:tcPr>
            <w:tcW w:w="866"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2 </w:t>
            </w:r>
          </w:p>
        </w:tc>
        <w:tc>
          <w:tcPr>
            <w:tcW w:w="2479"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ООО «ЮТЭК» </w:t>
            </w:r>
          </w:p>
        </w:tc>
        <w:tc>
          <w:tcPr>
            <w:tcW w:w="3421"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Система Тугулымского муниципального округа (п. Юшала)</w:t>
            </w:r>
          </w:p>
        </w:tc>
        <w:tc>
          <w:tcPr>
            <w:tcW w:w="258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1 котельная ООО «ЮТЭК» </w:t>
            </w:r>
          </w:p>
        </w:tc>
      </w:tr>
      <w:tr>
        <w:trPr>
          <w:trHeight w:val="870" w:hRule="atLeast"/>
        </w:trPr>
        <w:tc>
          <w:tcPr>
            <w:tcW w:w="866"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3</w:t>
            </w:r>
          </w:p>
        </w:tc>
        <w:tc>
          <w:tcPr>
            <w:tcW w:w="2479"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МУП «УЖКХ и АТ ТМО»</w:t>
            </w:r>
          </w:p>
        </w:tc>
        <w:tc>
          <w:tcPr>
            <w:tcW w:w="3421"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Система Тугулымского муниципального округа (п.г.т. Тугулым (ул. Комсомольская, ул. Октябрьская, ул. Пионерская, ул. Советская, ул. Школьная), п. Тугулым, с. Верховино)</w:t>
            </w:r>
          </w:p>
        </w:tc>
        <w:tc>
          <w:tcPr>
            <w:tcW w:w="258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4 котельные МУП «УЖКХ и АТ ТМО»</w:t>
            </w:r>
          </w:p>
        </w:tc>
      </w:tr>
    </w:tbl>
    <w:p>
      <w:pPr>
        <w:pStyle w:val="Normal"/>
        <w:spacing w:lineRule="auto" w:line="240"/>
        <w:ind w:hanging="0"/>
        <w:rPr>
          <w:rFonts w:ascii="Liberation Serif" w:hAnsi="Liberation Serif"/>
          <w:b/>
          <w:sz w:val="24"/>
          <w:szCs w:val="24"/>
        </w:rPr>
      </w:pPr>
      <w:r>
        <w:rPr>
          <w:rFonts w:ascii="Liberation Serif" w:hAnsi="Liberation Serif"/>
          <w:b/>
          <w:sz w:val="24"/>
          <w:szCs w:val="24"/>
        </w:rPr>
      </w:r>
    </w:p>
    <w:p>
      <w:pPr>
        <w:pStyle w:val="Normal"/>
        <w:rPr>
          <w:rFonts w:ascii="Liberation Serif" w:hAnsi="Liberation Serif"/>
          <w:sz w:val="24"/>
          <w:szCs w:val="24"/>
        </w:rPr>
      </w:pPr>
      <w:r>
        <w:rPr>
          <w:rFonts w:ascii="Liberation Serif" w:hAnsi="Liberation Serif"/>
          <w:b/>
          <w:sz w:val="24"/>
          <w:szCs w:val="24"/>
        </w:rPr>
        <w:t>6.1.</w:t>
      </w:r>
      <w:r>
        <w:rPr>
          <w:rFonts w:eastAsia="Arial" w:ascii="Liberation Serif" w:hAnsi="Liberation Serif"/>
          <w:b/>
          <w:sz w:val="24"/>
          <w:szCs w:val="24"/>
        </w:rPr>
        <w:t xml:space="preserve"> </w:t>
      </w:r>
      <w:r>
        <w:rPr>
          <w:rFonts w:ascii="Liberation Serif" w:hAnsi="Liberation Serif"/>
          <w:b/>
          <w:sz w:val="24"/>
          <w:szCs w:val="24"/>
        </w:rPr>
        <w:t xml:space="preserve">Источники тепловой энергии в централизованных системах теплоснабжения Тугулымского муниципального округа </w:t>
      </w:r>
    </w:p>
    <w:p>
      <w:pPr>
        <w:pStyle w:val="Normal"/>
        <w:rPr>
          <w:rFonts w:ascii="Liberation Serif" w:hAnsi="Liberation Serif"/>
          <w:sz w:val="24"/>
          <w:szCs w:val="24"/>
        </w:rPr>
      </w:pPr>
      <w:r>
        <w:rPr>
          <w:rFonts w:ascii="Liberation Serif" w:hAnsi="Liberation Serif"/>
          <w:sz w:val="24"/>
          <w:szCs w:val="24"/>
        </w:rPr>
        <w:t xml:space="preserve">В системы централизованного теплоснабжения потребителей тепловой энергии Тугулымского муниципального округа входят следующие объекты теплоснабжения: </w:t>
      </w:r>
    </w:p>
    <w:p>
      <w:pPr>
        <w:pStyle w:val="Normal"/>
        <w:numPr>
          <w:ilvl w:val="0"/>
          <w:numId w:val="4"/>
        </w:numPr>
        <w:rPr>
          <w:rFonts w:ascii="Liberation Serif" w:hAnsi="Liberation Serif"/>
          <w:sz w:val="24"/>
          <w:szCs w:val="24"/>
        </w:rPr>
      </w:pPr>
      <w:r>
        <w:rPr>
          <w:rFonts w:ascii="Liberation Serif" w:hAnsi="Liberation Serif"/>
          <w:sz w:val="24"/>
          <w:szCs w:val="24"/>
        </w:rPr>
        <w:t xml:space="preserve">13 отопительных котельных; </w:t>
      </w:r>
    </w:p>
    <w:p>
      <w:pPr>
        <w:pStyle w:val="Normal"/>
        <w:numPr>
          <w:ilvl w:val="0"/>
          <w:numId w:val="4"/>
        </w:numPr>
        <w:rPr>
          <w:rFonts w:ascii="Liberation Serif" w:hAnsi="Liberation Serif"/>
          <w:sz w:val="24"/>
          <w:szCs w:val="24"/>
        </w:rPr>
      </w:pPr>
      <w:r>
        <w:rPr>
          <w:rFonts w:ascii="Liberation Serif" w:hAnsi="Liberation Serif"/>
          <w:sz w:val="24"/>
          <w:szCs w:val="24"/>
        </w:rPr>
        <w:t xml:space="preserve">30,7 км сетей теплоснабжения и горячего водоснабжения в двухтрубном исчислении. </w:t>
      </w:r>
    </w:p>
    <w:p>
      <w:pPr>
        <w:pStyle w:val="Normal"/>
        <w:rPr>
          <w:rFonts w:ascii="Liberation Serif" w:hAnsi="Liberation Serif"/>
          <w:sz w:val="24"/>
          <w:szCs w:val="24"/>
        </w:rPr>
      </w:pPr>
      <w:r>
        <w:rPr>
          <w:rFonts w:ascii="Liberation Serif" w:hAnsi="Liberation Serif"/>
          <w:sz w:val="24"/>
          <w:szCs w:val="24"/>
        </w:rPr>
        <w:t xml:space="preserve">Перечень </w:t>
        <w:tab/>
        <w:t xml:space="preserve">источников теплоснабжения, находящихся на </w:t>
        <w:tab/>
        <w:t xml:space="preserve">территории Тугулымского муниципального округа, представлен в таблице 4. </w:t>
      </w:r>
    </w:p>
    <w:p>
      <w:pPr>
        <w:pStyle w:val="Normal"/>
        <w:jc w:val="start"/>
        <w:rPr>
          <w:rFonts w:ascii="Liberation Serif" w:hAnsi="Liberation Serif"/>
          <w:sz w:val="24"/>
          <w:szCs w:val="24"/>
        </w:rPr>
      </w:pPr>
      <w:r>
        <w:rPr>
          <w:rFonts w:ascii="Liberation Serif" w:hAnsi="Liberation Serif"/>
          <w:bCs/>
          <w:iCs/>
          <w:sz w:val="24"/>
          <w:szCs w:val="24"/>
        </w:rPr>
        <w:t xml:space="preserve">Таблица 4. Перечень источников теплоснабжения  </w:t>
      </w:r>
    </w:p>
    <w:p>
      <w:pPr>
        <w:pStyle w:val="Normal"/>
        <w:spacing w:lineRule="auto" w:line="240"/>
        <w:jc w:val="start"/>
        <w:rPr>
          <w:rFonts w:ascii="Liberation Serif" w:hAnsi="Liberation Serif"/>
          <w:bCs/>
          <w:iCs/>
          <w:sz w:val="24"/>
          <w:szCs w:val="24"/>
        </w:rPr>
      </w:pPr>
      <w:r>
        <w:rPr>
          <w:rFonts w:ascii="Liberation Serif" w:hAnsi="Liberation Serif"/>
          <w:bCs/>
          <w:iCs/>
          <w:sz w:val="24"/>
          <w:szCs w:val="24"/>
        </w:rPr>
      </w:r>
    </w:p>
    <w:tbl>
      <w:tblPr>
        <w:tblStyle w:val="TableGrid"/>
        <w:tblW w:w="9884" w:type="dxa"/>
        <w:jc w:val="start"/>
        <w:tblInd w:w="-108" w:type="dxa"/>
        <w:tblLayout w:type="fixed"/>
        <w:tblCellMar>
          <w:top w:w="6" w:type="dxa"/>
          <w:start w:w="50" w:type="dxa"/>
          <w:bottom w:w="0" w:type="dxa"/>
          <w:end w:w="5" w:type="dxa"/>
        </w:tblCellMar>
        <w:tblLook w:val="04a0" w:noHBand="0" w:noVBand="1" w:firstColumn="1" w:lastRow="0" w:lastColumn="0" w:firstRow="1"/>
      </w:tblPr>
      <w:tblGrid>
        <w:gridCol w:w="1083"/>
        <w:gridCol w:w="2257"/>
        <w:gridCol w:w="2250"/>
        <w:gridCol w:w="1175"/>
        <w:gridCol w:w="1275"/>
        <w:gridCol w:w="1844"/>
      </w:tblGrid>
      <w:tr>
        <w:trPr>
          <w:trHeight w:val="353" w:hRule="atLeast"/>
        </w:trPr>
        <w:tc>
          <w:tcPr>
            <w:tcW w:w="1083" w:type="dxa"/>
            <w:vMerge w:val="restart"/>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w:t>
            </w:r>
          </w:p>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п/п</w:t>
            </w:r>
          </w:p>
        </w:tc>
        <w:tc>
          <w:tcPr>
            <w:tcW w:w="2257" w:type="dxa"/>
            <w:vMerge w:val="restart"/>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Наименование теплоснабжающей организации </w:t>
            </w:r>
          </w:p>
        </w:tc>
        <w:tc>
          <w:tcPr>
            <w:tcW w:w="2250" w:type="dxa"/>
            <w:vMerge w:val="restart"/>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Адрес объекта теплоснабжения</w:t>
            </w:r>
            <w:r>
              <w:rPr>
                <w:rFonts w:eastAsia="" w:cs="" w:ascii="Liberation Serif" w:hAnsi="Liberation Serif"/>
                <w:b/>
                <w:kern w:val="0"/>
                <w:sz w:val="24"/>
                <w:szCs w:val="24"/>
                <w:lang w:val="ru-RU" w:eastAsia="ru-RU" w:bidi="ar-SA"/>
              </w:rPr>
              <w:t xml:space="preserve"> </w:t>
            </w:r>
          </w:p>
        </w:tc>
        <w:tc>
          <w:tcPr>
            <w:tcW w:w="2450" w:type="dxa"/>
            <w:gridSpan w:val="2"/>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Вид топлива</w:t>
            </w:r>
            <w:r>
              <w:rPr>
                <w:rFonts w:eastAsia="" w:cs="" w:ascii="Liberation Serif" w:hAnsi="Liberation Serif"/>
                <w:b/>
                <w:kern w:val="0"/>
                <w:sz w:val="24"/>
                <w:szCs w:val="24"/>
                <w:lang w:val="ru-RU" w:eastAsia="ru-RU" w:bidi="ar-SA"/>
              </w:rPr>
              <w:t xml:space="preserve"> </w:t>
            </w:r>
          </w:p>
        </w:tc>
        <w:tc>
          <w:tcPr>
            <w:tcW w:w="1844" w:type="dxa"/>
            <w:vMerge w:val="restart"/>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Мощность,</w:t>
            </w:r>
            <w:r>
              <w:rPr>
                <w:rFonts w:eastAsia="" w:cs="" w:ascii="Liberation Serif" w:hAnsi="Liberation Serif"/>
                <w:b/>
                <w:kern w:val="0"/>
                <w:sz w:val="24"/>
                <w:szCs w:val="24"/>
                <w:lang w:val="ru-RU" w:eastAsia="ru-RU" w:bidi="ar-SA"/>
              </w:rPr>
              <w:t xml:space="preserve"> </w:t>
            </w:r>
            <w:r>
              <w:rPr>
                <w:rFonts w:eastAsia="" w:cs="" w:ascii="Liberation Serif" w:hAnsi="Liberation Serif"/>
                <w:kern w:val="0"/>
                <w:sz w:val="24"/>
                <w:szCs w:val="24"/>
                <w:lang w:val="ru-RU" w:eastAsia="ru-RU" w:bidi="ar-SA"/>
              </w:rPr>
              <w:t>Гкал/ч</w:t>
            </w:r>
            <w:r>
              <w:rPr>
                <w:rFonts w:eastAsia="" w:cs="" w:ascii="Liberation Serif" w:hAnsi="Liberation Serif"/>
                <w:b/>
                <w:kern w:val="0"/>
                <w:sz w:val="24"/>
                <w:szCs w:val="24"/>
                <w:lang w:val="ru-RU" w:eastAsia="ru-RU" w:bidi="ar-SA"/>
              </w:rPr>
              <w:t xml:space="preserve"> </w:t>
            </w:r>
          </w:p>
        </w:tc>
      </w:tr>
      <w:tr>
        <w:trPr>
          <w:trHeight w:val="562" w:hRule="atLeast"/>
        </w:trPr>
        <w:tc>
          <w:tcPr>
            <w:tcW w:w="1083" w:type="dxa"/>
            <w:vMerge w:val="continue"/>
            <w:tcBorders>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c>
          <w:tcPr>
            <w:tcW w:w="2257" w:type="dxa"/>
            <w:vMerge w:val="continue"/>
            <w:tcBorders>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c>
          <w:tcPr>
            <w:tcW w:w="2250" w:type="dxa"/>
            <w:vMerge w:val="continue"/>
            <w:tcBorders>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c>
          <w:tcPr>
            <w:tcW w:w="117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Основное</w:t>
            </w:r>
            <w:r>
              <w:rPr>
                <w:rFonts w:eastAsia="" w:cs="" w:ascii="Liberation Serif" w:hAnsi="Liberation Serif"/>
                <w:b/>
                <w:kern w:val="0"/>
                <w:sz w:val="24"/>
                <w:szCs w:val="24"/>
                <w:lang w:val="ru-RU" w:eastAsia="ru-RU" w:bidi="ar-SA"/>
              </w:rPr>
              <w:t xml:space="preserve"> </w:t>
            </w:r>
          </w:p>
        </w:tc>
        <w:tc>
          <w:tcPr>
            <w:tcW w:w="127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Резервное</w:t>
            </w:r>
            <w:r>
              <w:rPr>
                <w:rFonts w:eastAsia="" w:cs="" w:ascii="Liberation Serif" w:hAnsi="Liberation Serif"/>
                <w:b/>
                <w:kern w:val="0"/>
                <w:sz w:val="24"/>
                <w:szCs w:val="24"/>
                <w:lang w:val="ru-RU" w:eastAsia="ru-RU" w:bidi="ar-SA"/>
              </w:rPr>
              <w:t xml:space="preserve"> </w:t>
            </w:r>
          </w:p>
        </w:tc>
        <w:tc>
          <w:tcPr>
            <w:tcW w:w="1844" w:type="dxa"/>
            <w:vMerge w:val="continue"/>
            <w:tcBorders>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1.</w:t>
            </w:r>
          </w:p>
        </w:tc>
        <w:tc>
          <w:tcPr>
            <w:tcW w:w="2257"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Котельная №1 </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МУП «УЖКХ И АТ ТМО»</w:t>
            </w:r>
          </w:p>
        </w:tc>
        <w:tc>
          <w:tcPr>
            <w:tcW w:w="2250"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п.г.т.Тугулым, ул.Октябрьская,8</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газ </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нефть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7,04</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Котельная №2 </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МУП «УЖКХ И АТ ТМО»</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п.г.т.Тугулым, ул.Школьная,30а</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газ </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нефть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2,941</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3.</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БМК</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6МВт</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п.г.т.Тугулым, ул.Садовая,17а</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газ </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3,44</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4.</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№4</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п.Заводоуспенское, ул.Набережная,2</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2,675</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5.</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№6</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п.г.т.Тугулым, ул.Федюнинского,80</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2,8</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6.</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№8</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МУП «УЖКХ И АТ ТМО»</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п.Тугулым, ул.Ленина,6</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2,896</w:t>
            </w:r>
          </w:p>
        </w:tc>
      </w:tr>
      <w:tr>
        <w:trPr>
          <w:trHeight w:val="840"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7.</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№9</w:t>
            </w:r>
          </w:p>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МУП «УЖКХ И АТ ТМО»</w:t>
            </w:r>
          </w:p>
        </w:tc>
        <w:tc>
          <w:tcPr>
            <w:tcW w:w="2250"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с.Верховино, ул.Строителей,4б</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top w:val="single" w:sz="4" w:space="0" w:color="000000"/>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4</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8.</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Котельная №11 </w:t>
            </w:r>
          </w:p>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с.Ошкуково, ул.Олимпийская,2а</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2,525</w:t>
            </w:r>
          </w:p>
        </w:tc>
      </w:tr>
      <w:tr>
        <w:trPr>
          <w:trHeight w:val="838"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9.</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№12</w:t>
            </w:r>
          </w:p>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с.Трошково, ул.Парковая,4</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3,14</w:t>
            </w:r>
          </w:p>
        </w:tc>
      </w:tr>
      <w:tr>
        <w:trPr>
          <w:trHeight w:val="286"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10.</w:t>
            </w:r>
          </w:p>
        </w:tc>
        <w:tc>
          <w:tcPr>
            <w:tcW w:w="2257"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№13</w:t>
            </w:r>
          </w:p>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start w:val="single" w:sz="4" w:space="0" w:color="000000"/>
              <w:bottom w:val="single" w:sz="4" w:space="0" w:color="000000"/>
              <w:end w:val="single" w:sz="4" w:space="0" w:color="000000"/>
            </w:tcBorders>
            <w:shd w:color="auto" w:fill="auto" w:val="clear"/>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с.Зубково, ул.Школьная,57а</w:t>
            </w:r>
          </w:p>
        </w:tc>
        <w:tc>
          <w:tcPr>
            <w:tcW w:w="117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bottom w:val="single" w:sz="8" w:space="0" w:color="000000"/>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0,9</w:t>
            </w:r>
          </w:p>
        </w:tc>
      </w:tr>
      <w:tr>
        <w:trPr>
          <w:trHeight w:val="965" w:hRule="atLeast"/>
        </w:trPr>
        <w:tc>
          <w:tcPr>
            <w:tcW w:w="1083"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11.</w:t>
            </w:r>
          </w:p>
        </w:tc>
        <w:tc>
          <w:tcPr>
            <w:tcW w:w="2257"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Котельная №14 </w:t>
            </w:r>
          </w:p>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п. Луговской, ул.Тугулымская,6</w:t>
            </w:r>
          </w:p>
        </w:tc>
        <w:tc>
          <w:tcPr>
            <w:tcW w:w="1175" w:type="dxa"/>
            <w:tcBorders>
              <w:top w:val="single" w:sz="4" w:space="0" w:color="000000"/>
              <w:start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    </w:t>
            </w: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end w:val="single" w:sz="8" w:space="0" w:color="000000"/>
            </w:tcBorders>
            <w:shd w:color="auto" w:fill="auto"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4</w:t>
            </w:r>
          </w:p>
        </w:tc>
      </w:tr>
      <w:tr>
        <w:trPr>
          <w:trHeight w:val="562"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12.</w:t>
            </w:r>
          </w:p>
        </w:tc>
        <w:tc>
          <w:tcPr>
            <w:tcW w:w="2257"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№15</w:t>
            </w:r>
          </w:p>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АО «ОТСК»</w:t>
            </w:r>
          </w:p>
        </w:tc>
        <w:tc>
          <w:tcPr>
            <w:tcW w:w="2250"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с. Яр, ул.Ленина,1</w:t>
            </w:r>
          </w:p>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tc>
        <w:tc>
          <w:tcPr>
            <w:tcW w:w="117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    </w:t>
            </w:r>
            <w:r>
              <w:rPr>
                <w:rFonts w:eastAsia="" w:cs="" w:ascii="Liberation Serif" w:hAnsi="Liberation Serif"/>
                <w:kern w:val="0"/>
                <w:sz w:val="24"/>
                <w:szCs w:val="24"/>
                <w:lang w:val="ru-RU" w:eastAsia="ru-RU" w:bidi="ar-SA"/>
              </w:rPr>
              <w:t>уголь</w:t>
            </w:r>
          </w:p>
        </w:tc>
        <w:tc>
          <w:tcPr>
            <w:tcW w:w="1275"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уголь</w:t>
            </w:r>
          </w:p>
        </w:tc>
        <w:tc>
          <w:tcPr>
            <w:tcW w:w="1844" w:type="dxa"/>
            <w:tcBorders>
              <w:top w:val="single" w:sz="4" w:space="0" w:color="000000"/>
              <w:start w:val="single" w:sz="4" w:space="0" w:color="000000"/>
              <w:bottom w:val="single" w:sz="4" w:space="0" w:color="000000"/>
              <w:end w:val="single" w:sz="4" w:space="0" w:color="000000"/>
            </w:tcBorders>
            <w:shd w:color="auto" w:fill="auto" w:val="clea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       </w:t>
            </w:r>
            <w:r>
              <w:rPr>
                <w:rFonts w:eastAsia="" w:cs="" w:ascii="Liberation Serif" w:hAnsi="Liberation Serif"/>
                <w:kern w:val="0"/>
                <w:sz w:val="24"/>
                <w:szCs w:val="24"/>
                <w:lang w:val="ru-RU" w:eastAsia="ru-RU" w:bidi="ar-SA"/>
              </w:rPr>
              <w:t>0,75</w:t>
            </w:r>
          </w:p>
        </w:tc>
      </w:tr>
      <w:tr>
        <w:trPr>
          <w:trHeight w:val="837" w:hRule="atLeast"/>
        </w:trPr>
        <w:tc>
          <w:tcPr>
            <w:tcW w:w="1083"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13.</w:t>
            </w:r>
          </w:p>
        </w:tc>
        <w:tc>
          <w:tcPr>
            <w:tcW w:w="2257"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start"/>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Котельная ООО «ЮТЭК»</w:t>
            </w:r>
          </w:p>
        </w:tc>
        <w:tc>
          <w:tcPr>
            <w:tcW w:w="2250" w:type="dxa"/>
            <w:tcBorders>
              <w:top w:val="single" w:sz="4" w:space="0" w:color="000000"/>
              <w:start w:val="single" w:sz="4" w:space="0" w:color="000000"/>
              <w:bottom w:val="single" w:sz="4" w:space="0" w:color="000000"/>
              <w:end w:val="single" w:sz="4" w:space="0" w:color="000000"/>
            </w:tcBorders>
          </w:tcPr>
          <w:p>
            <w:pPr>
              <w:pStyle w:val="Normal"/>
              <w:widowControl/>
              <w:spacing w:lineRule="auto" w:line="240" w:before="0" w:after="0"/>
              <w:ind w:hanging="0"/>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Тугулымский р-н, п. Юшала</w:t>
              <w:br/>
              <w:t>ул.Садовая,40</w:t>
            </w:r>
          </w:p>
        </w:tc>
        <w:tc>
          <w:tcPr>
            <w:tcW w:w="11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щепа</w:t>
            </w:r>
          </w:p>
        </w:tc>
        <w:tc>
          <w:tcPr>
            <w:tcW w:w="1275" w:type="dxa"/>
            <w:tcBorders>
              <w:top w:val="single" w:sz="4" w:space="0" w:color="000000"/>
              <w:start w:val="single" w:sz="4" w:space="0" w:color="000000"/>
              <w:bottom w:val="single" w:sz="4" w:space="0" w:color="000000"/>
              <w:end w:val="single" w:sz="4" w:space="0" w:color="000000"/>
            </w:tcBorders>
            <w:vAlign w:val="cente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 xml:space="preserve">- </w:t>
            </w:r>
          </w:p>
        </w:tc>
        <w:tc>
          <w:tcPr>
            <w:tcW w:w="1844" w:type="dxa"/>
            <w:tcBorders>
              <w:bottom w:val="single" w:sz="8" w:space="0" w:color="000000"/>
              <w:end w:val="single" w:sz="8" w:space="0" w:color="000000"/>
            </w:tcBorders>
            <w:shd w:color="000000" w:fill="FFFFFF" w:val="clear"/>
          </w:tcPr>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r>
          </w:p>
          <w:p>
            <w:pPr>
              <w:pStyle w:val="Normal"/>
              <w:widowControl/>
              <w:spacing w:lineRule="auto" w:line="240" w:before="0" w:after="0"/>
              <w:ind w:hanging="0"/>
              <w:jc w:val="center"/>
              <w:rPr>
                <w:rFonts w:ascii="Liberation Serif" w:hAnsi="Liberation Serif" w:eastAsia="" w:cs=""/>
                <w:kern w:val="0"/>
                <w:sz w:val="24"/>
                <w:szCs w:val="24"/>
                <w:lang w:val="ru-RU" w:eastAsia="ru-RU" w:bidi="ar-SA"/>
              </w:rPr>
            </w:pPr>
            <w:r>
              <w:rPr>
                <w:rFonts w:eastAsia="" w:cs="" w:ascii="Liberation Serif" w:hAnsi="Liberation Serif"/>
                <w:kern w:val="0"/>
                <w:sz w:val="24"/>
                <w:szCs w:val="24"/>
                <w:lang w:val="ru-RU" w:eastAsia="ru-RU" w:bidi="ar-SA"/>
              </w:rPr>
              <w:t>22</w:t>
            </w:r>
          </w:p>
        </w:tc>
      </w:tr>
    </w:tbl>
    <w:p>
      <w:pPr>
        <w:pStyle w:val="Normal"/>
        <w:spacing w:lineRule="auto" w:line="240"/>
        <w:rPr>
          <w:rFonts w:ascii="Liberation Serif" w:hAnsi="Liberation Serif"/>
          <w:sz w:val="24"/>
          <w:szCs w:val="24"/>
        </w:rPr>
      </w:pPr>
      <w:r>
        <w:rPr>
          <w:rFonts w:ascii="Liberation Serif" w:hAnsi="Liberation Serif"/>
          <w:sz w:val="24"/>
          <w:szCs w:val="24"/>
        </w:rPr>
      </w:r>
    </w:p>
    <w:p>
      <w:pPr>
        <w:pStyle w:val="Heading1"/>
        <w:spacing w:before="160" w:after="160"/>
        <w:rPr>
          <w:rFonts w:ascii="Liberation Serif" w:hAnsi="Liberation Serif"/>
          <w:sz w:val="24"/>
          <w:szCs w:val="24"/>
        </w:rPr>
      </w:pPr>
      <w:bookmarkStart w:id="24" w:name="_Toc215581910"/>
      <w:bookmarkStart w:id="25" w:name="_Toc194393524"/>
      <w:r>
        <w:rPr>
          <w:rFonts w:cs="Times New Roman" w:ascii="Liberation Serif" w:hAnsi="Liberation Serif"/>
          <w:b/>
          <w:color w:val="auto"/>
          <w:sz w:val="24"/>
          <w:szCs w:val="24"/>
        </w:rPr>
        <w:t>7 Электроснабжение источников тепловой энергии</w:t>
      </w:r>
      <w:bookmarkEnd w:id="24"/>
      <w:bookmarkEnd w:id="25"/>
    </w:p>
    <w:p>
      <w:pPr>
        <w:pStyle w:val="Normal"/>
        <w:rPr>
          <w:rFonts w:ascii="Liberation Serif" w:hAnsi="Liberation Serif"/>
          <w:sz w:val="24"/>
          <w:szCs w:val="24"/>
        </w:rPr>
      </w:pPr>
      <w:r>
        <w:rPr>
          <w:rFonts w:ascii="Liberation Serif" w:hAnsi="Liberation Serif"/>
          <w:sz w:val="24"/>
          <w:szCs w:val="24"/>
        </w:rPr>
        <w:t xml:space="preserve">Постановлением РЭК Свердловской области № 137-ПК от 25.09.2014 «О присвоении статуса гарантирующего поставщика в результате реорганизации организации, имеющей статус гарантирующего поставщика» присвоен статус гарантирующего поставщика электрической энергии открытому акционерному обществу "ЭнергосбыТ Плюс" в границах зоны деятельности, находящейся в пределах административных границ Свердловской области, за исключением территорий, соответствующих зонам деятельности иных гарантирующих поставщиков. </w:t>
      </w:r>
    </w:p>
    <w:p>
      <w:pPr>
        <w:pStyle w:val="Normal"/>
        <w:rPr>
          <w:rFonts w:ascii="Liberation Serif" w:hAnsi="Liberation Serif"/>
          <w:sz w:val="24"/>
          <w:szCs w:val="24"/>
        </w:rPr>
      </w:pPr>
      <w:r>
        <w:rPr>
          <w:rFonts w:ascii="Liberation Serif" w:hAnsi="Liberation Serif"/>
          <w:sz w:val="24"/>
          <w:szCs w:val="24"/>
        </w:rPr>
        <w:t xml:space="preserve">Распоряжение Губернатора Свердловской области от 04.09.2024 № 204-РГ «Об определении системообразующей территориальной сетевой организации на территории Свердловской области на 2025-2029 годы» публичное акционерное общество «Россети Урал» определено как системообразующая сетевая организация на территории Свердловской области. На территории Тугулымского муниципального округа – ПАО «Россети Урал» - Свердловэнерго». </w:t>
      </w:r>
    </w:p>
    <w:p>
      <w:pPr>
        <w:pStyle w:val="Normal"/>
        <w:rPr>
          <w:rFonts w:ascii="Liberation Serif" w:hAnsi="Liberation Serif"/>
          <w:sz w:val="24"/>
          <w:szCs w:val="24"/>
        </w:rPr>
      </w:pPr>
      <w:r>
        <w:rPr>
          <w:rFonts w:ascii="Liberation Serif" w:hAnsi="Liberation Serif"/>
          <w:sz w:val="24"/>
          <w:szCs w:val="24"/>
        </w:rPr>
        <w:t xml:space="preserve">Кроме ПАО «Россети-Урал» обслуживание сетей и передачу электрической энергии потребителям осуществляет АО «Облкоммунэнерго».  </w:t>
      </w:r>
    </w:p>
    <w:p>
      <w:pPr>
        <w:pStyle w:val="Normal"/>
        <w:rPr>
          <w:rFonts w:ascii="Liberation Serif" w:hAnsi="Liberation Serif"/>
          <w:sz w:val="24"/>
          <w:szCs w:val="24"/>
        </w:rPr>
      </w:pPr>
      <w:r>
        <w:rPr>
          <w:rFonts w:cs="Times New Roman" w:ascii="Liberation Serif" w:hAnsi="Liberation Serif"/>
          <w:sz w:val="24"/>
          <w:szCs w:val="24"/>
        </w:rPr>
        <w:t>Информация об источниках электроснабжения объектов теплоснабжения размещена в таблице ниже:</w:t>
      </w:r>
    </w:p>
    <w:p>
      <w:pPr>
        <w:pStyle w:val="Normal"/>
        <w:ind w:hanging="0"/>
        <w:jc w:val="start"/>
        <w:rPr>
          <w:rFonts w:ascii="Liberation Serif" w:hAnsi="Liberation Serif"/>
          <w:sz w:val="24"/>
          <w:szCs w:val="24"/>
        </w:rPr>
      </w:pPr>
      <w:r>
        <w:rPr>
          <w:rFonts w:cs="Times New Roman" w:ascii="Liberation Serif" w:hAnsi="Liberation Serif"/>
          <w:i/>
          <w:iCs/>
          <w:sz w:val="24"/>
          <w:szCs w:val="24"/>
        </w:rPr>
        <w:t>Таблица 5 - Источники электроснабжения объектов теплоснабжения</w:t>
      </w:r>
    </w:p>
    <w:tbl>
      <w:tblPr>
        <w:tblStyle w:val="a9"/>
        <w:tblW w:w="10060"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44"/>
        <w:gridCol w:w="1632"/>
        <w:gridCol w:w="2640"/>
        <w:gridCol w:w="1949"/>
        <w:gridCol w:w="1177"/>
        <w:gridCol w:w="2218"/>
      </w:tblGrid>
      <w:tr>
        <w:trPr/>
        <w:tc>
          <w:tcPr>
            <w:tcW w:w="444" w:type="dxa"/>
            <w:tcBorders/>
            <w:vAlign w:val="center"/>
          </w:tcPr>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w:t>
            </w:r>
          </w:p>
        </w:tc>
        <w:tc>
          <w:tcPr>
            <w:tcW w:w="1632" w:type="dxa"/>
            <w:tcBorders/>
            <w:vAlign w:val="center"/>
          </w:tcPr>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w:t>
            </w:r>
          </w:p>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источника тепловой энергии</w:t>
            </w:r>
          </w:p>
        </w:tc>
        <w:tc>
          <w:tcPr>
            <w:tcW w:w="2640" w:type="dxa"/>
            <w:tcBorders/>
            <w:vAlign w:val="center"/>
          </w:tcPr>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Электросетевая организация</w:t>
            </w:r>
          </w:p>
        </w:tc>
        <w:tc>
          <w:tcPr>
            <w:tcW w:w="1949" w:type="dxa"/>
            <w:tcBorders/>
            <w:vAlign w:val="center"/>
          </w:tcPr>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и № питающего фидера</w:t>
            </w:r>
          </w:p>
        </w:tc>
        <w:tc>
          <w:tcPr>
            <w:tcW w:w="1177" w:type="dxa"/>
            <w:tcBorders/>
            <w:vAlign w:val="center"/>
          </w:tcPr>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Кол-во вводов</w:t>
            </w:r>
          </w:p>
        </w:tc>
        <w:tc>
          <w:tcPr>
            <w:tcW w:w="2218" w:type="dxa"/>
            <w:tcBorders/>
            <w:vAlign w:val="center"/>
          </w:tcPr>
          <w:p>
            <w:pPr>
              <w:pStyle w:val="Normal"/>
              <w:widowControl/>
              <w:spacing w:before="0" w:after="0"/>
              <w:ind w:hanging="0" w:start="-120" w:end="-36"/>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Резервный автономный источник эл.энергии, наличие</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1632" w:type="dxa"/>
            <w:tcBorders/>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 </w:t>
            </w:r>
          </w:p>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АО «Облкоммунэнерго».  </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218"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tc>
        <w:tc>
          <w:tcPr>
            <w:tcW w:w="1632"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№2 </w:t>
            </w:r>
          </w:p>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АО «Облкоммунэнерго».  </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3</w:t>
            </w:r>
          </w:p>
        </w:tc>
        <w:tc>
          <w:tcPr>
            <w:tcW w:w="1632"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БМК</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6МВт</w:t>
            </w:r>
          </w:p>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АО «Облкоммунэнерго».  </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4</w:t>
            </w:r>
          </w:p>
        </w:tc>
        <w:tc>
          <w:tcPr>
            <w:tcW w:w="1632"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№4</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5</w:t>
            </w:r>
          </w:p>
        </w:tc>
        <w:tc>
          <w:tcPr>
            <w:tcW w:w="1632"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№6</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6</w:t>
            </w:r>
          </w:p>
        </w:tc>
        <w:tc>
          <w:tcPr>
            <w:tcW w:w="1632"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№8</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АО «Облкоммунэнерго».  </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7</w:t>
            </w:r>
          </w:p>
        </w:tc>
        <w:tc>
          <w:tcPr>
            <w:tcW w:w="1632"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№9</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8</w:t>
            </w:r>
          </w:p>
        </w:tc>
        <w:tc>
          <w:tcPr>
            <w:tcW w:w="1632"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№11 </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9</w:t>
            </w:r>
          </w:p>
        </w:tc>
        <w:tc>
          <w:tcPr>
            <w:tcW w:w="1632"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№12</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w:t>
            </w:r>
          </w:p>
        </w:tc>
        <w:tc>
          <w:tcPr>
            <w:tcW w:w="1632"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№13</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11</w:t>
            </w:r>
          </w:p>
        </w:tc>
        <w:tc>
          <w:tcPr>
            <w:tcW w:w="1632"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№14 </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c>
          <w:tcPr>
            <w:tcW w:w="1632"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№15</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r>
      <w:tr>
        <w:trPr>
          <w:trHeight w:val="817" w:hRule="atLeast"/>
        </w:trPr>
        <w:tc>
          <w:tcPr>
            <w:tcW w:w="444"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13</w:t>
            </w:r>
          </w:p>
        </w:tc>
        <w:tc>
          <w:tcPr>
            <w:tcW w:w="1632"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ООО «ЮТЭК»</w:t>
            </w:r>
          </w:p>
        </w:tc>
        <w:tc>
          <w:tcPr>
            <w:tcW w:w="2640"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ПАО «Россети Урал»</w:t>
            </w:r>
          </w:p>
        </w:tc>
        <w:tc>
          <w:tcPr>
            <w:tcW w:w="1949" w:type="dxa"/>
            <w:tcBorders/>
            <w:vAlign w:val="center"/>
          </w:tcPr>
          <w:p>
            <w:pPr>
              <w:pStyle w:val="Normal"/>
              <w:widowControl/>
              <w:spacing w:before="0" w:after="0"/>
              <w:ind w:hanging="0" w:start="-12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177" w:type="dxa"/>
            <w:tcBorders/>
            <w:vAlign w:val="center"/>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218" w:type="dxa"/>
            <w:tcBorders/>
          </w:tcPr>
          <w:p>
            <w:pPr>
              <w:pStyle w:val="Normal"/>
              <w:widowControl/>
              <w:spacing w:before="0" w:after="0"/>
              <w:ind w:hanging="0" w:start="-12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tc>
      </w:tr>
    </w:tbl>
    <w:p>
      <w:pPr>
        <w:pStyle w:val="Normal"/>
        <w:rPr>
          <w:rFonts w:ascii="Liberation Serif" w:hAnsi="Liberation Serif"/>
          <w:sz w:val="24"/>
          <w:szCs w:val="24"/>
        </w:rPr>
      </w:pPr>
      <w:r>
        <w:rPr>
          <w:rFonts w:cs="Times New Roman" w:ascii="Liberation Serif" w:hAnsi="Liberation Serif"/>
          <w:sz w:val="24"/>
          <w:szCs w:val="24"/>
        </w:rPr>
        <w:t>Расчёты допустимого времени устранения технологических нарушений на объектах</w:t>
      </w:r>
      <w:r>
        <w:rPr>
          <w:rFonts w:cs="Times New Roman" w:ascii="Liberation Serif" w:hAnsi="Liberation Serif"/>
          <w:spacing w:val="2"/>
          <w:sz w:val="24"/>
          <w:szCs w:val="24"/>
        </w:rPr>
        <w:t xml:space="preserve"> электроснабжения</w:t>
      </w:r>
    </w:p>
    <w:p>
      <w:pPr>
        <w:pStyle w:val="Normal"/>
        <w:ind w:hanging="0"/>
        <w:rPr>
          <w:rFonts w:ascii="Liberation Serif" w:hAnsi="Liberation Serif"/>
          <w:sz w:val="24"/>
          <w:szCs w:val="24"/>
        </w:rPr>
      </w:pPr>
      <w:r>
        <w:rPr>
          <w:rFonts w:cs="Times New Roman" w:ascii="Liberation Serif" w:hAnsi="Liberation Serif"/>
          <w:i/>
          <w:iCs/>
          <w:sz w:val="24"/>
          <w:szCs w:val="24"/>
        </w:rPr>
        <w:t>Таблица 6 - Расчёт допустимого времени устранения технологических нарушений на объектах электроснабжения</w:t>
      </w:r>
    </w:p>
    <w:tbl>
      <w:tblPr>
        <w:tblW w:w="10068" w:type="dxa"/>
        <w:jc w:val="start"/>
        <w:tblInd w:w="-8" w:type="dxa"/>
        <w:tblLayout w:type="fixed"/>
        <w:tblCellMar>
          <w:top w:w="0" w:type="dxa"/>
          <w:start w:w="149" w:type="dxa"/>
          <w:bottom w:w="0" w:type="dxa"/>
          <w:end w:w="149" w:type="dxa"/>
        </w:tblCellMar>
        <w:tblLook w:val="04a0" w:noHBand="0" w:noVBand="1" w:firstColumn="1" w:lastRow="0" w:lastColumn="0" w:firstRow="1"/>
      </w:tblPr>
      <w:tblGrid>
        <w:gridCol w:w="1202"/>
        <w:gridCol w:w="4433"/>
        <w:gridCol w:w="4433"/>
      </w:tblGrid>
      <w:tr>
        <w:trPr/>
        <w:tc>
          <w:tcPr>
            <w:tcW w:w="1202" w:type="dxa"/>
            <w:tcBorders>
              <w:top w:val="single" w:sz="4" w:space="0" w:color="000000"/>
              <w:start w:val="single" w:sz="4" w:space="0" w:color="000000"/>
              <w:bottom w:val="single" w:sz="4" w:space="0" w:color="000000"/>
              <w:end w:val="single" w:sz="4" w:space="0" w:color="000000"/>
            </w:tcBorders>
            <w:vAlign w:val="center"/>
          </w:tcPr>
          <w:p>
            <w:pPr>
              <w:pStyle w:val="Normal"/>
              <w:ind w:hanging="0" w:start="-8"/>
              <w:jc w:val="center"/>
              <w:rPr>
                <w:rFonts w:ascii="Liberation Serif" w:hAnsi="Liberation Serif"/>
                <w:sz w:val="24"/>
                <w:szCs w:val="24"/>
              </w:rPr>
            </w:pPr>
            <w:r>
              <w:rPr>
                <w:rFonts w:cs="Times New Roman" w:ascii="Liberation Serif" w:hAnsi="Liberation Serif"/>
                <w:sz w:val="24"/>
                <w:szCs w:val="24"/>
              </w:rPr>
              <w:t>N п/п</w:t>
            </w:r>
          </w:p>
        </w:tc>
        <w:tc>
          <w:tcPr>
            <w:tcW w:w="4433" w:type="dxa"/>
            <w:tcBorders>
              <w:top w:val="single" w:sz="4" w:space="0" w:color="000000"/>
              <w:start w:val="single" w:sz="4" w:space="0" w:color="000000"/>
              <w:bottom w:val="single" w:sz="4" w:space="0" w:color="000000"/>
              <w:end w:val="single" w:sz="4" w:space="0" w:color="000000"/>
            </w:tcBorders>
            <w:vAlign w:val="center"/>
          </w:tcPr>
          <w:p>
            <w:pPr>
              <w:pStyle w:val="Normal"/>
              <w:ind w:hanging="0" w:start="-8"/>
              <w:jc w:val="center"/>
              <w:rPr>
                <w:rFonts w:ascii="Liberation Serif" w:hAnsi="Liberation Serif"/>
                <w:sz w:val="24"/>
                <w:szCs w:val="24"/>
              </w:rPr>
            </w:pPr>
            <w:r>
              <w:rPr>
                <w:rFonts w:cs="Times New Roman" w:ascii="Liberation Serif" w:hAnsi="Liberation Serif"/>
                <w:sz w:val="24"/>
                <w:szCs w:val="24"/>
              </w:rPr>
              <w:t>Наименование технологического нарушения</w:t>
            </w:r>
          </w:p>
        </w:tc>
        <w:tc>
          <w:tcPr>
            <w:tcW w:w="4433" w:type="dxa"/>
            <w:tcBorders>
              <w:top w:val="single" w:sz="4" w:space="0" w:color="000000"/>
              <w:start w:val="single" w:sz="4" w:space="0" w:color="000000"/>
              <w:bottom w:val="single" w:sz="4" w:space="0" w:color="000000"/>
              <w:end w:val="single" w:sz="4" w:space="0" w:color="000000"/>
            </w:tcBorders>
            <w:vAlign w:val="center"/>
          </w:tcPr>
          <w:p>
            <w:pPr>
              <w:pStyle w:val="Normal"/>
              <w:ind w:hanging="0" w:start="-8"/>
              <w:jc w:val="center"/>
              <w:rPr>
                <w:rFonts w:ascii="Liberation Serif" w:hAnsi="Liberation Serif"/>
                <w:sz w:val="24"/>
                <w:szCs w:val="24"/>
              </w:rPr>
            </w:pPr>
            <w:r>
              <w:rPr>
                <w:rFonts w:cs="Times New Roman" w:ascii="Liberation Serif" w:hAnsi="Liberation Serif"/>
                <w:sz w:val="24"/>
                <w:szCs w:val="24"/>
              </w:rPr>
              <w:t>Время устранения</w:t>
            </w:r>
          </w:p>
        </w:tc>
      </w:tr>
      <w:tr>
        <w:trPr/>
        <w:tc>
          <w:tcPr>
            <w:tcW w:w="1202" w:type="dxa"/>
            <w:tcBorders>
              <w:top w:val="single" w:sz="4" w:space="0" w:color="000000"/>
              <w:start w:val="single" w:sz="4" w:space="0" w:color="000000"/>
              <w:bottom w:val="single" w:sz="4" w:space="0" w:color="000000"/>
              <w:end w:val="single" w:sz="4" w:space="0" w:color="000000"/>
            </w:tcBorders>
            <w:vAlign w:val="center"/>
          </w:tcPr>
          <w:p>
            <w:pPr>
              <w:pStyle w:val="Normal"/>
              <w:ind w:hanging="0" w:start="-8"/>
              <w:jc w:val="center"/>
              <w:rPr>
                <w:rFonts w:ascii="Liberation Serif" w:hAnsi="Liberation Serif"/>
                <w:sz w:val="24"/>
                <w:szCs w:val="24"/>
              </w:rPr>
            </w:pPr>
            <w:r>
              <w:rPr>
                <w:rFonts w:cs="Times New Roman" w:ascii="Liberation Serif" w:hAnsi="Liberation Serif"/>
                <w:sz w:val="24"/>
                <w:szCs w:val="24"/>
              </w:rPr>
              <w:t>1</w:t>
            </w:r>
          </w:p>
        </w:tc>
        <w:tc>
          <w:tcPr>
            <w:tcW w:w="4433" w:type="dxa"/>
            <w:tcBorders>
              <w:top w:val="single" w:sz="4" w:space="0" w:color="000000"/>
              <w:start w:val="single" w:sz="4" w:space="0" w:color="000000"/>
              <w:bottom w:val="single" w:sz="4" w:space="0" w:color="000000"/>
              <w:end w:val="single" w:sz="4" w:space="0" w:color="000000"/>
            </w:tcBorders>
            <w:vAlign w:val="center"/>
          </w:tcPr>
          <w:p>
            <w:pPr>
              <w:pStyle w:val="Normal"/>
              <w:ind w:hanging="0" w:start="-8"/>
              <w:jc w:val="center"/>
              <w:rPr>
                <w:rFonts w:ascii="Liberation Serif" w:hAnsi="Liberation Serif"/>
                <w:sz w:val="24"/>
                <w:szCs w:val="24"/>
              </w:rPr>
            </w:pPr>
            <w:r>
              <w:rPr>
                <w:rFonts w:cs="Times New Roman" w:ascii="Liberation Serif" w:hAnsi="Liberation Serif"/>
                <w:sz w:val="24"/>
                <w:szCs w:val="24"/>
              </w:rPr>
              <w:t>Отключение электроснабжения</w:t>
            </w:r>
          </w:p>
        </w:tc>
        <w:tc>
          <w:tcPr>
            <w:tcW w:w="4433" w:type="dxa"/>
            <w:tcBorders>
              <w:top w:val="single" w:sz="4" w:space="0" w:color="000000"/>
              <w:start w:val="single" w:sz="4" w:space="0" w:color="000000"/>
              <w:bottom w:val="single" w:sz="4" w:space="0" w:color="000000"/>
              <w:end w:val="single" w:sz="4" w:space="0" w:color="000000"/>
            </w:tcBorders>
            <w:vAlign w:val="center"/>
          </w:tcPr>
          <w:p>
            <w:pPr>
              <w:pStyle w:val="Normal"/>
              <w:ind w:hanging="0" w:start="-8"/>
              <w:jc w:val="center"/>
              <w:rPr>
                <w:rFonts w:ascii="Liberation Serif" w:hAnsi="Liberation Serif"/>
                <w:sz w:val="24"/>
                <w:szCs w:val="24"/>
              </w:rPr>
            </w:pPr>
            <w:r>
              <w:rPr>
                <w:rFonts w:cs="Times New Roman" w:ascii="Liberation Serif" w:hAnsi="Liberation Serif"/>
                <w:sz w:val="24"/>
                <w:szCs w:val="24"/>
              </w:rPr>
              <w:t>2 часа – при наличии двух независимых взаимно резервирующих источников питания;</w:t>
            </w:r>
          </w:p>
          <w:p>
            <w:pPr>
              <w:pStyle w:val="Normal"/>
              <w:ind w:hanging="0" w:start="-8"/>
              <w:jc w:val="center"/>
              <w:rPr>
                <w:rFonts w:ascii="Liberation Serif" w:hAnsi="Liberation Serif"/>
                <w:sz w:val="24"/>
                <w:szCs w:val="24"/>
              </w:rPr>
            </w:pPr>
            <w:r>
              <w:rPr>
                <w:rFonts w:cs="Times New Roman" w:ascii="Liberation Serif" w:hAnsi="Liberation Serif"/>
                <w:sz w:val="24"/>
                <w:szCs w:val="24"/>
              </w:rPr>
              <w:t>24 часа – при наличии 1 источника питания</w:t>
            </w:r>
          </w:p>
        </w:tc>
      </w:tr>
    </w:tbl>
    <w:p>
      <w:pPr>
        <w:pStyle w:val="Heading1"/>
        <w:spacing w:before="160" w:after="160"/>
        <w:rPr>
          <w:rFonts w:ascii="Liberation Serif" w:hAnsi="Liberation Serif"/>
          <w:sz w:val="24"/>
          <w:szCs w:val="24"/>
        </w:rPr>
      </w:pPr>
      <w:bookmarkStart w:id="26" w:name="_Toc215581911"/>
      <w:bookmarkStart w:id="27" w:name="_Toc194393525"/>
      <w:r>
        <w:rPr>
          <w:rFonts w:cs="Times New Roman" w:ascii="Liberation Serif" w:hAnsi="Liberation Serif"/>
          <w:b/>
          <w:color w:val="auto"/>
          <w:sz w:val="24"/>
          <w:szCs w:val="24"/>
        </w:rPr>
        <w:t>8. Водоснабжение источников тепловой энергии</w:t>
      </w:r>
      <w:bookmarkEnd w:id="26"/>
      <w:bookmarkEnd w:id="27"/>
    </w:p>
    <w:p>
      <w:pPr>
        <w:pStyle w:val="Normal"/>
        <w:rPr>
          <w:rFonts w:ascii="Liberation Serif" w:hAnsi="Liberation Serif"/>
          <w:sz w:val="24"/>
          <w:szCs w:val="24"/>
        </w:rPr>
      </w:pPr>
      <w:r>
        <w:rPr>
          <w:rFonts w:ascii="Liberation Serif" w:hAnsi="Liberation Serif"/>
          <w:sz w:val="24"/>
          <w:szCs w:val="24"/>
        </w:rPr>
        <w:t xml:space="preserve">Источником водоснабжения котельных, находящихся в эксплуатации: АО «ОТСК», ООО «ЮТЭК» и МУП «УЖКХ и АТ ТМО» является централизованное водоснабжение Тугулымского муниципального округа, гарантирующим поставщиком – МУП «УЖКХ и АТ ТМО».   </w:t>
      </w:r>
    </w:p>
    <w:p>
      <w:pPr>
        <w:pStyle w:val="formattext"/>
        <w:spacing w:lineRule="auto" w:line="360" w:beforeAutospacing="0" w:before="0" w:afterAutospacing="0" w:after="0"/>
        <w:jc w:val="both"/>
        <w:textAlignment w:val="baseline"/>
        <w:rPr>
          <w:rFonts w:ascii="Liberation Serif" w:hAnsi="Liberation Serif"/>
          <w:sz w:val="24"/>
          <w:szCs w:val="24"/>
        </w:rPr>
      </w:pPr>
      <w:r>
        <w:rPr>
          <w:rFonts w:eastAsia="Calibri" w:ascii="Liberation Serif" w:hAnsi="Liberation Serif" w:eastAsiaTheme="minorHAnsi"/>
          <w:i/>
          <w:iCs/>
          <w:sz w:val="24"/>
          <w:szCs w:val="24"/>
          <w:lang w:eastAsia="en-US"/>
        </w:rPr>
        <w:t>Таблица 5 - Источники водоснабжения</w:t>
      </w:r>
    </w:p>
    <w:tbl>
      <w:tblPr>
        <w:tblStyle w:val="a9"/>
        <w:tblW w:w="10060"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562"/>
        <w:gridCol w:w="1701"/>
        <w:gridCol w:w="3344"/>
        <w:gridCol w:w="1868"/>
        <w:gridCol w:w="2585"/>
      </w:tblGrid>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w:t>
            </w:r>
          </w:p>
        </w:tc>
        <w:tc>
          <w:tcPr>
            <w:tcW w:w="1701"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Теплоисточник</w:t>
            </w:r>
          </w:p>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3344"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компании–поставщика услуги водоснабжения</w:t>
            </w:r>
          </w:p>
        </w:tc>
        <w:tc>
          <w:tcPr>
            <w:tcW w:w="1868"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Наличие резерва подготовленной воды (м3) на теплоисточнике</w:t>
            </w:r>
          </w:p>
        </w:tc>
        <w:tc>
          <w:tcPr>
            <w:tcW w:w="2585"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Время работы теплоисточника при перерыве в водоснабжении (час)</w:t>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1701" w:type="dxa"/>
            <w:tcBorders/>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 </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tc>
        <w:tc>
          <w:tcPr>
            <w:tcW w:w="1701"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№2 </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3</w:t>
            </w:r>
          </w:p>
        </w:tc>
        <w:tc>
          <w:tcPr>
            <w:tcW w:w="1701"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БМК</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6МВт</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да</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4</w:t>
            </w:r>
          </w:p>
        </w:tc>
        <w:tc>
          <w:tcPr>
            <w:tcW w:w="1701"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№4</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5</w:t>
            </w:r>
          </w:p>
        </w:tc>
        <w:tc>
          <w:tcPr>
            <w:tcW w:w="1701"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№6</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6</w:t>
            </w:r>
          </w:p>
        </w:tc>
        <w:tc>
          <w:tcPr>
            <w:tcW w:w="1701"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№8</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7</w:t>
            </w:r>
          </w:p>
        </w:tc>
        <w:tc>
          <w:tcPr>
            <w:tcW w:w="1701"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№9</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8</w:t>
            </w:r>
          </w:p>
        </w:tc>
        <w:tc>
          <w:tcPr>
            <w:tcW w:w="1701"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№11 </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9</w:t>
            </w:r>
          </w:p>
        </w:tc>
        <w:tc>
          <w:tcPr>
            <w:tcW w:w="1701"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№12</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w:t>
            </w:r>
          </w:p>
        </w:tc>
        <w:tc>
          <w:tcPr>
            <w:tcW w:w="170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№13</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11</w:t>
            </w:r>
          </w:p>
        </w:tc>
        <w:tc>
          <w:tcPr>
            <w:tcW w:w="170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№14 </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c>
          <w:tcPr>
            <w:tcW w:w="1701"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№15</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62"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13</w:t>
            </w:r>
          </w:p>
        </w:tc>
        <w:tc>
          <w:tcPr>
            <w:tcW w:w="1701"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ООО «ЮТЭК»</w:t>
            </w:r>
          </w:p>
        </w:tc>
        <w:tc>
          <w:tcPr>
            <w:tcW w:w="33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868"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нет</w:t>
            </w:r>
          </w:p>
        </w:tc>
        <w:tc>
          <w:tcPr>
            <w:tcW w:w="2585"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bl>
    <w:p>
      <w:pPr>
        <w:pStyle w:val="formattext"/>
        <w:spacing w:lineRule="auto" w:line="360" w:beforeAutospacing="0" w:before="0" w:afterAutospacing="0" w:after="0"/>
        <w:ind w:firstLineChars="200"/>
        <w:jc w:val="both"/>
        <w:textAlignment w:val="baseline"/>
        <w:rPr>
          <w:rFonts w:ascii="Liberation Serif" w:hAnsi="Liberation Serif"/>
          <w:sz w:val="24"/>
          <w:szCs w:val="24"/>
        </w:rPr>
      </w:pPr>
      <w:r>
        <w:rPr>
          <w:rFonts w:ascii="Liberation Serif" w:hAnsi="Liberation Serif"/>
          <w:sz w:val="24"/>
          <w:szCs w:val="24"/>
        </w:rPr>
        <w:t>Расчёты допустимого времени устранения технологических нарушений на объектах водоснабжения:</w:t>
      </w:r>
    </w:p>
    <w:p>
      <w:pPr>
        <w:pStyle w:val="formattext"/>
        <w:spacing w:lineRule="auto" w:line="360" w:beforeAutospacing="0" w:before="0" w:afterAutospacing="0" w:after="0"/>
        <w:jc w:val="both"/>
        <w:textAlignment w:val="baseline"/>
        <w:rPr>
          <w:rFonts w:ascii="Liberation Serif" w:hAnsi="Liberation Serif"/>
          <w:sz w:val="24"/>
          <w:szCs w:val="24"/>
        </w:rPr>
      </w:pPr>
      <w:r>
        <w:rPr>
          <w:rFonts w:eastAsia="Calibri" w:ascii="Liberation Serif" w:hAnsi="Liberation Serif" w:eastAsiaTheme="minorHAnsi"/>
          <w:i/>
          <w:iCs/>
          <w:sz w:val="24"/>
          <w:szCs w:val="24"/>
          <w:lang w:eastAsia="en-US"/>
        </w:rPr>
        <w:t>Таблица 6 - Расчёты допустимого времени устранения технологических нарушений на объектах водоснабжения</w:t>
      </w:r>
    </w:p>
    <w:tbl>
      <w:tblPr>
        <w:tblW w:w="10068" w:type="dxa"/>
        <w:jc w:val="start"/>
        <w:tblInd w:w="-8" w:type="dxa"/>
        <w:tblLayout w:type="fixed"/>
        <w:tblCellMar>
          <w:top w:w="0" w:type="dxa"/>
          <w:start w:w="149" w:type="dxa"/>
          <w:bottom w:w="0" w:type="dxa"/>
          <w:end w:w="149" w:type="dxa"/>
        </w:tblCellMar>
        <w:tblLook w:val="04a0" w:noHBand="0" w:noVBand="1" w:firstColumn="1" w:lastRow="0" w:lastColumn="0" w:firstRow="1"/>
      </w:tblPr>
      <w:tblGrid>
        <w:gridCol w:w="1196"/>
        <w:gridCol w:w="2492"/>
        <w:gridCol w:w="2462"/>
        <w:gridCol w:w="1837"/>
        <w:gridCol w:w="2081"/>
      </w:tblGrid>
      <w:tr>
        <w:trPr/>
        <w:tc>
          <w:tcPr>
            <w:tcW w:w="1196"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N п/п</w:t>
            </w:r>
          </w:p>
        </w:tc>
        <w:tc>
          <w:tcPr>
            <w:tcW w:w="249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Наименование технологического нарушения</w:t>
            </w:r>
          </w:p>
        </w:tc>
        <w:tc>
          <w:tcPr>
            <w:tcW w:w="246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Диаметр труб, мм</w:t>
            </w:r>
          </w:p>
        </w:tc>
        <w:tc>
          <w:tcPr>
            <w:tcW w:w="3918" w:type="dxa"/>
            <w:gridSpan w:val="2"/>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Время устранения, ч, при глубине заложения труб, м</w:t>
            </w:r>
          </w:p>
        </w:tc>
      </w:tr>
      <w:tr>
        <w:trPr/>
        <w:tc>
          <w:tcPr>
            <w:tcW w:w="1196"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cs="Times New Roman"/>
                <w:sz w:val="24"/>
                <w:szCs w:val="24"/>
              </w:rPr>
            </w:pPr>
            <w:r>
              <w:rPr>
                <w:rFonts w:cs="Times New Roman" w:ascii="Liberation Serif" w:hAnsi="Liberation Serif"/>
                <w:sz w:val="24"/>
                <w:szCs w:val="24"/>
              </w:rPr>
            </w:r>
          </w:p>
        </w:tc>
        <w:tc>
          <w:tcPr>
            <w:tcW w:w="249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cs="Times New Roman"/>
                <w:sz w:val="24"/>
                <w:szCs w:val="24"/>
              </w:rPr>
            </w:pPr>
            <w:r>
              <w:rPr>
                <w:rFonts w:cs="Times New Roman" w:ascii="Liberation Serif" w:hAnsi="Liberation Serif"/>
                <w:sz w:val="24"/>
                <w:szCs w:val="24"/>
              </w:rPr>
            </w:r>
          </w:p>
        </w:tc>
        <w:tc>
          <w:tcPr>
            <w:tcW w:w="246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cs="Times New Roman"/>
                <w:sz w:val="24"/>
                <w:szCs w:val="24"/>
              </w:rPr>
            </w:pPr>
            <w:r>
              <w:rPr>
                <w:rFonts w:cs="Times New Roman" w:ascii="Liberation Serif" w:hAnsi="Liberation Serif"/>
                <w:sz w:val="24"/>
                <w:szCs w:val="24"/>
              </w:rPr>
            </w:r>
          </w:p>
        </w:tc>
        <w:tc>
          <w:tcPr>
            <w:tcW w:w="1837"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до 2</w:t>
            </w:r>
          </w:p>
        </w:tc>
        <w:tc>
          <w:tcPr>
            <w:tcW w:w="2081"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более 2</w:t>
            </w:r>
          </w:p>
        </w:tc>
      </w:tr>
      <w:tr>
        <w:trPr/>
        <w:tc>
          <w:tcPr>
            <w:tcW w:w="1196"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1</w:t>
            </w:r>
          </w:p>
        </w:tc>
        <w:tc>
          <w:tcPr>
            <w:tcW w:w="249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Отключение водоснабжения</w:t>
            </w:r>
          </w:p>
        </w:tc>
        <w:tc>
          <w:tcPr>
            <w:tcW w:w="246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до 400</w:t>
            </w:r>
          </w:p>
        </w:tc>
        <w:tc>
          <w:tcPr>
            <w:tcW w:w="1837"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8</w:t>
            </w:r>
          </w:p>
        </w:tc>
        <w:tc>
          <w:tcPr>
            <w:tcW w:w="2081"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12</w:t>
            </w:r>
          </w:p>
        </w:tc>
      </w:tr>
      <w:tr>
        <w:trPr/>
        <w:tc>
          <w:tcPr>
            <w:tcW w:w="1196"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2</w:t>
            </w:r>
          </w:p>
        </w:tc>
        <w:tc>
          <w:tcPr>
            <w:tcW w:w="249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Отключение водоснабжения</w:t>
            </w:r>
          </w:p>
        </w:tc>
        <w:tc>
          <w:tcPr>
            <w:tcW w:w="246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св. 400 до 1000</w:t>
            </w:r>
          </w:p>
        </w:tc>
        <w:tc>
          <w:tcPr>
            <w:tcW w:w="1837"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12</w:t>
            </w:r>
          </w:p>
        </w:tc>
        <w:tc>
          <w:tcPr>
            <w:tcW w:w="2081"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18</w:t>
            </w:r>
          </w:p>
        </w:tc>
      </w:tr>
      <w:tr>
        <w:trPr/>
        <w:tc>
          <w:tcPr>
            <w:tcW w:w="1196"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3</w:t>
            </w:r>
          </w:p>
        </w:tc>
        <w:tc>
          <w:tcPr>
            <w:tcW w:w="249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Отключение водоснабжения</w:t>
            </w:r>
          </w:p>
        </w:tc>
        <w:tc>
          <w:tcPr>
            <w:tcW w:w="2462"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св. 1000</w:t>
            </w:r>
          </w:p>
        </w:tc>
        <w:tc>
          <w:tcPr>
            <w:tcW w:w="1837"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18</w:t>
            </w:r>
          </w:p>
        </w:tc>
        <w:tc>
          <w:tcPr>
            <w:tcW w:w="2081" w:type="dxa"/>
            <w:tcBorders>
              <w:top w:val="single" w:sz="4" w:space="0" w:color="000000"/>
              <w:start w:val="single" w:sz="4" w:space="0" w:color="000000"/>
              <w:bottom w:val="single" w:sz="4" w:space="0" w:color="000000"/>
              <w:end w:val="single" w:sz="4" w:space="0" w:color="000000"/>
            </w:tcBorders>
            <w:vAlign w:val="center"/>
          </w:tcPr>
          <w:p>
            <w:pPr>
              <w:pStyle w:val="Normal"/>
              <w:ind w:hanging="0"/>
              <w:jc w:val="center"/>
              <w:rPr>
                <w:rFonts w:ascii="Liberation Serif" w:hAnsi="Liberation Serif"/>
                <w:sz w:val="24"/>
                <w:szCs w:val="24"/>
              </w:rPr>
            </w:pPr>
            <w:r>
              <w:rPr>
                <w:rFonts w:cs="Times New Roman" w:ascii="Liberation Serif" w:hAnsi="Liberation Serif"/>
                <w:sz w:val="24"/>
                <w:szCs w:val="24"/>
              </w:rPr>
              <w:t>24</w:t>
            </w:r>
          </w:p>
        </w:tc>
      </w:tr>
    </w:tbl>
    <w:p>
      <w:pPr>
        <w:pStyle w:val="Heading1"/>
        <w:spacing w:before="160" w:after="160"/>
        <w:rPr>
          <w:rFonts w:ascii="Liberation Serif" w:hAnsi="Liberation Serif"/>
          <w:sz w:val="24"/>
          <w:szCs w:val="24"/>
        </w:rPr>
      </w:pPr>
      <w:bookmarkStart w:id="28" w:name="_Toc215581912"/>
      <w:bookmarkStart w:id="29" w:name="_Toc194393526"/>
      <w:r>
        <w:rPr>
          <w:rFonts w:cs="Times New Roman" w:ascii="Liberation Serif" w:hAnsi="Liberation Serif"/>
          <w:b/>
          <w:color w:val="auto"/>
          <w:sz w:val="24"/>
          <w:szCs w:val="24"/>
        </w:rPr>
        <w:t>9 Топливоснабжение источников тепловой энергии</w:t>
      </w:r>
      <w:bookmarkEnd w:id="28"/>
      <w:bookmarkEnd w:id="29"/>
    </w:p>
    <w:p>
      <w:pPr>
        <w:pStyle w:val="Normal"/>
        <w:rPr>
          <w:rFonts w:ascii="Liberation Serif" w:hAnsi="Liberation Serif"/>
          <w:sz w:val="24"/>
          <w:szCs w:val="24"/>
        </w:rPr>
      </w:pPr>
      <w:r>
        <w:rPr>
          <w:rFonts w:cs="Times New Roman" w:ascii="Liberation Serif" w:hAnsi="Liberation Serif"/>
          <w:sz w:val="24"/>
          <w:szCs w:val="24"/>
        </w:rPr>
        <w:t>9.1 Природный газ</w:t>
      </w:r>
    </w:p>
    <w:p>
      <w:pPr>
        <w:pStyle w:val="Normal"/>
        <w:ind w:hanging="0"/>
        <w:rPr>
          <w:rFonts w:ascii="Liberation Serif" w:hAnsi="Liberation Serif"/>
          <w:sz w:val="24"/>
          <w:szCs w:val="24"/>
        </w:rPr>
      </w:pPr>
      <w:r>
        <w:rPr>
          <w:rFonts w:cs="Times New Roman" w:ascii="Liberation Serif" w:hAnsi="Liberation Serif"/>
          <w:i/>
          <w:iCs/>
          <w:sz w:val="24"/>
          <w:szCs w:val="24"/>
        </w:rPr>
        <w:t xml:space="preserve">Таблица 7 - </w:t>
      </w:r>
    </w:p>
    <w:tbl>
      <w:tblPr>
        <w:tblStyle w:val="a9"/>
        <w:tblW w:w="10060"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475"/>
        <w:gridCol w:w="1606"/>
        <w:gridCol w:w="1684"/>
        <w:gridCol w:w="1632"/>
        <w:gridCol w:w="1544"/>
        <w:gridCol w:w="3119"/>
      </w:tblGrid>
      <w:tr>
        <w:trPr/>
        <w:tc>
          <w:tcPr>
            <w:tcW w:w="475"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w:t>
            </w:r>
          </w:p>
        </w:tc>
        <w:tc>
          <w:tcPr>
            <w:tcW w:w="1606"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Теплоисточник</w:t>
            </w:r>
          </w:p>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68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компании–поставщика</w:t>
            </w:r>
          </w:p>
        </w:tc>
        <w:tc>
          <w:tcPr>
            <w:tcW w:w="1632"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ГРО</w:t>
            </w:r>
          </w:p>
        </w:tc>
        <w:tc>
          <w:tcPr>
            <w:tcW w:w="15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ГРС</w:t>
            </w:r>
          </w:p>
        </w:tc>
        <w:tc>
          <w:tcPr>
            <w:tcW w:w="31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Время работы на резервном топливе (расчет, сут/час)</w:t>
            </w:r>
          </w:p>
        </w:tc>
      </w:tr>
      <w:tr>
        <w:trPr/>
        <w:tc>
          <w:tcPr>
            <w:tcW w:w="475"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1606" w:type="dxa"/>
            <w:tcBorders/>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 </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68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АО «Уралсевергаз»</w:t>
            </w:r>
          </w:p>
        </w:tc>
        <w:tc>
          <w:tcPr>
            <w:tcW w:w="1632"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ГУП СО «Газовые Сети»</w:t>
            </w:r>
          </w:p>
        </w:tc>
        <w:tc>
          <w:tcPr>
            <w:tcW w:w="15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ГРПБ-13-2В-ЭК-АОГВ с. Успенка, Тюменской области</w:t>
            </w:r>
          </w:p>
        </w:tc>
        <w:tc>
          <w:tcPr>
            <w:tcW w:w="31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24</w:t>
            </w:r>
          </w:p>
        </w:tc>
      </w:tr>
      <w:tr>
        <w:trPr/>
        <w:tc>
          <w:tcPr>
            <w:tcW w:w="475" w:type="dxa"/>
            <w:tcBorders/>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606"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№2 </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168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АО «Уралсевергаз»</w:t>
            </w:r>
          </w:p>
        </w:tc>
        <w:tc>
          <w:tcPr>
            <w:tcW w:w="1632"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ГУП СО «Газовые Сети»</w:t>
            </w:r>
          </w:p>
        </w:tc>
        <w:tc>
          <w:tcPr>
            <w:tcW w:w="15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ГРПБ-13-2В-ЭК-АОГВ с. Успенка, Тюменской области</w:t>
            </w:r>
          </w:p>
        </w:tc>
        <w:tc>
          <w:tcPr>
            <w:tcW w:w="31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24</w:t>
            </w:r>
          </w:p>
        </w:tc>
      </w:tr>
      <w:tr>
        <w:trPr/>
        <w:tc>
          <w:tcPr>
            <w:tcW w:w="475" w:type="dxa"/>
            <w:tcBorders/>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1606"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БМК</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6МВт</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168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АО «Уралсевергаз»</w:t>
            </w:r>
          </w:p>
        </w:tc>
        <w:tc>
          <w:tcPr>
            <w:tcW w:w="1632"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ГУП СО «Газовые Сети»</w:t>
            </w:r>
          </w:p>
        </w:tc>
        <w:tc>
          <w:tcPr>
            <w:tcW w:w="1544"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ГРПБ-13-2В-ЭК-АОГВ с. Успенка, Тюменской области</w:t>
            </w:r>
          </w:p>
        </w:tc>
        <w:tc>
          <w:tcPr>
            <w:tcW w:w="31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24</w:t>
            </w:r>
          </w:p>
        </w:tc>
      </w:tr>
    </w:tbl>
    <w:p>
      <w:pPr>
        <w:pStyle w:val="Normal"/>
        <w:ind w:firstLineChars="300"/>
        <w:rPr>
          <w:rFonts w:ascii="Liberation Serif" w:hAnsi="Liberation Serif"/>
          <w:sz w:val="24"/>
          <w:szCs w:val="24"/>
        </w:rPr>
      </w:pPr>
      <w:r>
        <w:rPr>
          <w:rFonts w:cs="Times New Roman" w:ascii="Liberation Serif" w:hAnsi="Liberation Serif"/>
          <w:sz w:val="24"/>
          <w:szCs w:val="24"/>
        </w:rPr>
        <w:t>Расчеты допустимого времени устранения технологических нарушений на объектах газоснабжения:</w:t>
      </w:r>
    </w:p>
    <w:p>
      <w:pPr>
        <w:pStyle w:val="Normal"/>
        <w:ind w:hanging="0"/>
        <w:rPr>
          <w:rFonts w:ascii="Liberation Serif" w:hAnsi="Liberation Serif"/>
          <w:sz w:val="24"/>
          <w:szCs w:val="24"/>
        </w:rPr>
      </w:pPr>
      <w:r>
        <w:rPr>
          <w:rFonts w:cs="Times New Roman" w:ascii="Liberation Serif" w:hAnsi="Liberation Serif"/>
          <w:i/>
          <w:iCs/>
          <w:sz w:val="24"/>
          <w:szCs w:val="24"/>
        </w:rPr>
        <w:t>Таблица 8 - Расчет допустимого времени устранения технологических нарушений на объектах газоснабжения</w:t>
      </w:r>
    </w:p>
    <w:tbl>
      <w:tblPr>
        <w:tblW w:w="10060" w:type="dxa"/>
        <w:jc w:val="start"/>
        <w:tblInd w:w="0" w:type="dxa"/>
        <w:tblLayout w:type="fixed"/>
        <w:tblCellMar>
          <w:top w:w="0" w:type="dxa"/>
          <w:start w:w="149" w:type="dxa"/>
          <w:bottom w:w="0" w:type="dxa"/>
          <w:end w:w="149" w:type="dxa"/>
        </w:tblCellMar>
        <w:tblLook w:val="04a0" w:noHBand="0" w:noVBand="1" w:firstColumn="1" w:lastRow="0" w:lastColumn="0" w:firstRow="1"/>
      </w:tblPr>
      <w:tblGrid>
        <w:gridCol w:w="1202"/>
        <w:gridCol w:w="4329"/>
        <w:gridCol w:w="4529"/>
      </w:tblGrid>
      <w:tr>
        <w:trPr/>
        <w:tc>
          <w:tcPr>
            <w:tcW w:w="1202" w:type="dxa"/>
            <w:tcBorders>
              <w:top w:val="single" w:sz="4" w:space="0" w:color="000000"/>
              <w:start w:val="single" w:sz="4" w:space="0" w:color="000000"/>
              <w:bottom w:val="single" w:sz="4" w:space="0" w:color="000000"/>
              <w:end w:val="single" w:sz="4" w:space="0" w:color="000000"/>
            </w:tcBorders>
          </w:tcPr>
          <w:p>
            <w:pPr>
              <w:pStyle w:val="Normal"/>
              <w:ind w:hanging="0" w:start="-8"/>
              <w:jc w:val="center"/>
              <w:rPr>
                <w:rFonts w:ascii="Liberation Serif" w:hAnsi="Liberation Serif"/>
                <w:sz w:val="24"/>
                <w:szCs w:val="24"/>
              </w:rPr>
            </w:pPr>
            <w:r>
              <w:rPr>
                <w:rFonts w:cs="Times New Roman" w:ascii="Liberation Serif" w:hAnsi="Liberation Serif"/>
                <w:sz w:val="24"/>
                <w:szCs w:val="24"/>
              </w:rPr>
              <w:t>N п/п</w:t>
            </w:r>
          </w:p>
        </w:tc>
        <w:tc>
          <w:tcPr>
            <w:tcW w:w="4329" w:type="dxa"/>
            <w:tcBorders>
              <w:top w:val="single" w:sz="4" w:space="0" w:color="000000"/>
              <w:start w:val="single" w:sz="4" w:space="0" w:color="000000"/>
              <w:bottom w:val="single" w:sz="4" w:space="0" w:color="000000"/>
              <w:end w:val="single" w:sz="4" w:space="0" w:color="000000"/>
            </w:tcBorders>
          </w:tcPr>
          <w:p>
            <w:pPr>
              <w:pStyle w:val="Normal"/>
              <w:ind w:hanging="0" w:start="-73"/>
              <w:jc w:val="center"/>
              <w:rPr>
                <w:rFonts w:ascii="Liberation Serif" w:hAnsi="Liberation Serif"/>
                <w:sz w:val="24"/>
                <w:szCs w:val="24"/>
              </w:rPr>
            </w:pPr>
            <w:r>
              <w:rPr>
                <w:rFonts w:cs="Times New Roman" w:ascii="Liberation Serif" w:hAnsi="Liberation Serif"/>
                <w:sz w:val="24"/>
                <w:szCs w:val="24"/>
              </w:rPr>
              <w:t>Наименование технологического нарушения</w:t>
            </w:r>
          </w:p>
        </w:tc>
        <w:tc>
          <w:tcPr>
            <w:tcW w:w="4529" w:type="dxa"/>
            <w:tcBorders>
              <w:top w:val="single" w:sz="4" w:space="0" w:color="000000"/>
              <w:start w:val="single" w:sz="4" w:space="0" w:color="000000"/>
              <w:bottom w:val="single" w:sz="4" w:space="0" w:color="000000"/>
              <w:end w:val="single" w:sz="4" w:space="0" w:color="000000"/>
            </w:tcBorders>
          </w:tcPr>
          <w:p>
            <w:pPr>
              <w:pStyle w:val="Normal"/>
              <w:ind w:hanging="0" w:start="-73"/>
              <w:jc w:val="center"/>
              <w:rPr>
                <w:rFonts w:ascii="Liberation Serif" w:hAnsi="Liberation Serif"/>
                <w:sz w:val="24"/>
                <w:szCs w:val="24"/>
              </w:rPr>
            </w:pPr>
            <w:r>
              <w:rPr>
                <w:rFonts w:cs="Times New Roman" w:ascii="Liberation Serif" w:hAnsi="Liberation Serif"/>
                <w:sz w:val="24"/>
                <w:szCs w:val="24"/>
              </w:rPr>
              <w:t>Время устранения</w:t>
            </w:r>
          </w:p>
        </w:tc>
      </w:tr>
      <w:tr>
        <w:trPr/>
        <w:tc>
          <w:tcPr>
            <w:tcW w:w="1202" w:type="dxa"/>
            <w:tcBorders>
              <w:top w:val="single" w:sz="4" w:space="0" w:color="000000"/>
              <w:start w:val="single" w:sz="4" w:space="0" w:color="000000"/>
              <w:bottom w:val="single" w:sz="4" w:space="0" w:color="000000"/>
              <w:end w:val="single" w:sz="4" w:space="0" w:color="000000"/>
            </w:tcBorders>
          </w:tcPr>
          <w:p>
            <w:pPr>
              <w:pStyle w:val="Normal"/>
              <w:ind w:hanging="0" w:start="-8"/>
              <w:jc w:val="center"/>
              <w:rPr>
                <w:rFonts w:ascii="Liberation Serif" w:hAnsi="Liberation Serif"/>
                <w:sz w:val="24"/>
                <w:szCs w:val="24"/>
              </w:rPr>
            </w:pPr>
            <w:r>
              <w:rPr>
                <w:rFonts w:cs="Times New Roman" w:ascii="Liberation Serif" w:hAnsi="Liberation Serif"/>
                <w:sz w:val="24"/>
                <w:szCs w:val="24"/>
              </w:rPr>
              <w:t>1</w:t>
            </w:r>
          </w:p>
        </w:tc>
        <w:tc>
          <w:tcPr>
            <w:tcW w:w="4329" w:type="dxa"/>
            <w:tcBorders>
              <w:top w:val="single" w:sz="4" w:space="0" w:color="000000"/>
              <w:start w:val="single" w:sz="4" w:space="0" w:color="000000"/>
              <w:bottom w:val="single" w:sz="4" w:space="0" w:color="000000"/>
              <w:end w:val="single" w:sz="4" w:space="0" w:color="000000"/>
            </w:tcBorders>
          </w:tcPr>
          <w:p>
            <w:pPr>
              <w:pStyle w:val="Normal"/>
              <w:ind w:hanging="0" w:start="-73"/>
              <w:jc w:val="center"/>
              <w:rPr>
                <w:rFonts w:ascii="Liberation Serif" w:hAnsi="Liberation Serif"/>
                <w:sz w:val="24"/>
                <w:szCs w:val="24"/>
              </w:rPr>
            </w:pPr>
            <w:r>
              <w:rPr>
                <w:rFonts w:cs="Times New Roman" w:ascii="Liberation Serif" w:hAnsi="Liberation Serif"/>
                <w:sz w:val="24"/>
                <w:szCs w:val="24"/>
              </w:rPr>
              <w:t>Отключение газоснабжения</w:t>
            </w:r>
          </w:p>
        </w:tc>
        <w:tc>
          <w:tcPr>
            <w:tcW w:w="4529" w:type="dxa"/>
            <w:tcBorders>
              <w:top w:val="single" w:sz="4" w:space="0" w:color="000000"/>
              <w:start w:val="single" w:sz="4" w:space="0" w:color="000000"/>
              <w:bottom w:val="single" w:sz="4" w:space="0" w:color="000000"/>
              <w:end w:val="single" w:sz="4" w:space="0" w:color="000000"/>
            </w:tcBorders>
          </w:tcPr>
          <w:p>
            <w:pPr>
              <w:pStyle w:val="Normal"/>
              <w:ind w:hanging="0" w:start="-73"/>
              <w:jc w:val="center"/>
              <w:rPr>
                <w:rFonts w:ascii="Liberation Serif" w:hAnsi="Liberation Serif"/>
                <w:sz w:val="24"/>
                <w:szCs w:val="24"/>
              </w:rPr>
            </w:pPr>
            <w:r>
              <w:rPr>
                <w:rFonts w:cs="Times New Roman" w:ascii="Liberation Serif" w:hAnsi="Liberation Serif"/>
                <w:sz w:val="24"/>
                <w:szCs w:val="24"/>
              </w:rPr>
              <w:t>не более 4 часов (суммарно)</w:t>
              <w:br/>
              <w:t>в течении 1 месяца</w:t>
            </w:r>
          </w:p>
        </w:tc>
      </w:tr>
    </w:tbl>
    <w:p>
      <w:pPr>
        <w:pStyle w:val="Normal"/>
        <w:rPr>
          <w:rFonts w:ascii="Liberation Serif" w:hAnsi="Liberation Serif"/>
          <w:sz w:val="24"/>
          <w:szCs w:val="24"/>
        </w:rPr>
      </w:pPr>
      <w:r>
        <w:rPr>
          <w:rFonts w:cs="Times New Roman" w:ascii="Liberation Serif" w:hAnsi="Liberation Serif"/>
          <w:sz w:val="24"/>
          <w:szCs w:val="24"/>
        </w:rPr>
        <w:t>9.2 Твердое топливо</w:t>
      </w:r>
    </w:p>
    <w:p>
      <w:pPr>
        <w:pStyle w:val="Normal"/>
        <w:ind w:hanging="0"/>
        <w:rPr>
          <w:rFonts w:ascii="Liberation Serif" w:hAnsi="Liberation Serif"/>
          <w:sz w:val="24"/>
          <w:szCs w:val="24"/>
        </w:rPr>
      </w:pPr>
      <w:r>
        <w:rPr>
          <w:rFonts w:cs="Times New Roman" w:ascii="Liberation Serif" w:hAnsi="Liberation Serif"/>
          <w:i/>
          <w:iCs/>
          <w:sz w:val="24"/>
          <w:szCs w:val="24"/>
        </w:rPr>
        <w:t xml:space="preserve">Таблица 9 - </w:t>
      </w:r>
    </w:p>
    <w:tbl>
      <w:tblPr>
        <w:tblStyle w:val="a9"/>
        <w:tblW w:w="10096" w:type="dxa"/>
        <w:jc w:val="start"/>
        <w:tblInd w:w="-5" w:type="dxa"/>
        <w:tblLayout w:type="fixed"/>
        <w:tblCellMar>
          <w:top w:w="0" w:type="dxa"/>
          <w:start w:w="108" w:type="dxa"/>
          <w:bottom w:w="0" w:type="dxa"/>
          <w:end w:w="108" w:type="dxa"/>
        </w:tblCellMar>
        <w:tblLook w:val="04a0" w:noHBand="0" w:noVBand="1" w:firstColumn="1" w:lastRow="0" w:lastColumn="0" w:firstRow="1"/>
      </w:tblPr>
      <w:tblGrid>
        <w:gridCol w:w="2019"/>
        <w:gridCol w:w="2019"/>
        <w:gridCol w:w="2019"/>
        <w:gridCol w:w="2019"/>
        <w:gridCol w:w="2020"/>
      </w:tblGrid>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w:t>
            </w:r>
          </w:p>
        </w:tc>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Теплоисточник</w:t>
            </w:r>
          </w:p>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Вид топлива</w:t>
            </w:r>
          </w:p>
        </w:tc>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Неснижаемый нормативный запас топлива (т)</w:t>
            </w:r>
          </w:p>
        </w:tc>
        <w:tc>
          <w:tcPr>
            <w:tcW w:w="2020"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Время работы с использованием неснижаемого нормативного  запаса (сут, час)</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2019"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№4</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tc>
        <w:tc>
          <w:tcPr>
            <w:tcW w:w="2019"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№6</w:t>
            </w:r>
          </w:p>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3</w:t>
            </w:r>
          </w:p>
        </w:tc>
        <w:tc>
          <w:tcPr>
            <w:tcW w:w="2019"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№8</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4</w:t>
            </w:r>
          </w:p>
        </w:tc>
        <w:tc>
          <w:tcPr>
            <w:tcW w:w="2019" w:type="dxa"/>
            <w:tcBorders/>
            <w:vAlign w:val="center"/>
          </w:tcPr>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№9</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МУП «УЖКХ И АТ ТМО»</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5</w:t>
            </w:r>
          </w:p>
        </w:tc>
        <w:tc>
          <w:tcPr>
            <w:tcW w:w="2019"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№11 </w:t>
            </w:r>
          </w:p>
          <w:p>
            <w:pPr>
              <w:pStyle w:val="Normal"/>
              <w:widowControl/>
              <w:spacing w:lineRule="auto" w:line="240" w:before="0" w:after="0"/>
              <w:ind w:hanging="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6</w:t>
            </w:r>
          </w:p>
        </w:tc>
        <w:tc>
          <w:tcPr>
            <w:tcW w:w="2019"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№12</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7</w:t>
            </w:r>
          </w:p>
        </w:tc>
        <w:tc>
          <w:tcPr>
            <w:tcW w:w="2019"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№13</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8</w:t>
            </w:r>
          </w:p>
        </w:tc>
        <w:tc>
          <w:tcPr>
            <w:tcW w:w="2019"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Котельная №14 </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9</w:t>
            </w:r>
          </w:p>
        </w:tc>
        <w:tc>
          <w:tcPr>
            <w:tcW w:w="2019" w:type="dxa"/>
            <w:tcBorders/>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№15</w:t>
            </w:r>
          </w:p>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АО «ОТСК»</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Каменный уголь</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r>
        <w:trPr/>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w:t>
            </w:r>
          </w:p>
        </w:tc>
        <w:tc>
          <w:tcPr>
            <w:tcW w:w="2019" w:type="dxa"/>
            <w:tcBorders/>
            <w:vAlign w:val="center"/>
          </w:tcPr>
          <w:p>
            <w:pPr>
              <w:pStyle w:val="Normal"/>
              <w:widowControl/>
              <w:spacing w:lineRule="auto" w:line="240" w:before="0" w:after="0"/>
              <w:ind w:hanging="0"/>
              <w:jc w:val="start"/>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Котельная ООО «ЮТЭК»</w:t>
            </w:r>
          </w:p>
        </w:tc>
        <w:tc>
          <w:tcPr>
            <w:tcW w:w="2019"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Щепа </w:t>
            </w:r>
          </w:p>
        </w:tc>
        <w:tc>
          <w:tcPr>
            <w:tcW w:w="2019"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w:t>
            </w:r>
          </w:p>
        </w:tc>
        <w:tc>
          <w:tcPr>
            <w:tcW w:w="2020" w:type="dxa"/>
            <w:tcBorders/>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12</w:t>
            </w:r>
          </w:p>
        </w:tc>
      </w:tr>
    </w:tbl>
    <w:p>
      <w:pPr>
        <w:pStyle w:val="Normal"/>
        <w:rPr>
          <w:rFonts w:ascii="Liberation Serif" w:hAnsi="Liberation Serif"/>
          <w:sz w:val="24"/>
          <w:szCs w:val="24"/>
        </w:rPr>
      </w:pPr>
      <w:r>
        <w:rPr>
          <w:rFonts w:cs="Times New Roman" w:ascii="Liberation Serif" w:hAnsi="Liberation Serif"/>
          <w:sz w:val="24"/>
          <w:szCs w:val="24"/>
        </w:rPr>
        <w:t>9.3. Жидкое топливо (теплоисточники, работающие на жидком топливе, отсутствуют)</w:t>
      </w:r>
    </w:p>
    <w:p>
      <w:pPr>
        <w:pStyle w:val="Normal"/>
        <w:ind w:hanging="0"/>
        <w:rPr>
          <w:rFonts w:ascii="Liberation Serif" w:hAnsi="Liberation Serif"/>
          <w:sz w:val="24"/>
          <w:szCs w:val="24"/>
        </w:rPr>
      </w:pPr>
      <w:r>
        <w:rPr>
          <w:rFonts w:cs="Times New Roman" w:ascii="Liberation Serif" w:hAnsi="Liberation Serif"/>
          <w:i/>
          <w:iCs/>
          <w:sz w:val="24"/>
          <w:szCs w:val="24"/>
        </w:rPr>
        <w:t xml:space="preserve">Таблица 10 - </w:t>
      </w:r>
    </w:p>
    <w:tbl>
      <w:tblPr>
        <w:tblStyle w:val="a9"/>
        <w:tblW w:w="10065" w:type="dxa"/>
        <w:jc w:val="start"/>
        <w:tblInd w:w="-5" w:type="dxa"/>
        <w:tblLayout w:type="fixed"/>
        <w:tblCellMar>
          <w:top w:w="0" w:type="dxa"/>
          <w:start w:w="108" w:type="dxa"/>
          <w:bottom w:w="0" w:type="dxa"/>
          <w:end w:w="108" w:type="dxa"/>
        </w:tblCellMar>
        <w:tblLook w:val="04a0" w:noHBand="0" w:noVBand="1" w:firstColumn="1" w:lastRow="0" w:lastColumn="0" w:firstRow="1"/>
      </w:tblPr>
      <w:tblGrid>
        <w:gridCol w:w="2013"/>
        <w:gridCol w:w="2013"/>
        <w:gridCol w:w="2013"/>
        <w:gridCol w:w="2013"/>
        <w:gridCol w:w="2013"/>
      </w:tblGrid>
      <w:tr>
        <w:trPr/>
        <w:tc>
          <w:tcPr>
            <w:tcW w:w="2013"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w:t>
            </w:r>
          </w:p>
        </w:tc>
        <w:tc>
          <w:tcPr>
            <w:tcW w:w="2013"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Теплоисточник</w:t>
            </w:r>
          </w:p>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Вид топлива</w:t>
            </w:r>
          </w:p>
        </w:tc>
        <w:tc>
          <w:tcPr>
            <w:tcW w:w="2013"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Неснижаемый нормативный запас топлива (т)</w:t>
            </w:r>
          </w:p>
        </w:tc>
        <w:tc>
          <w:tcPr>
            <w:tcW w:w="2013" w:type="dxa"/>
            <w:tcBorders/>
            <w:vAlign w:val="center"/>
          </w:tcPr>
          <w:p>
            <w:pPr>
              <w:pStyle w:val="Normal"/>
              <w:widowControl/>
              <w:spacing w:before="0" w:after="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Время работы с использованием неснижаемого нормативного запаса (сут, час)</w:t>
            </w:r>
          </w:p>
        </w:tc>
      </w:tr>
      <w:tr>
        <w:trPr/>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013" w:type="dxa"/>
            <w:tcBorders/>
            <w:vAlign w:val="center"/>
          </w:tcPr>
          <w:p>
            <w:pPr>
              <w:pStyle w:val="Normal"/>
              <w:widowControl/>
              <w:spacing w:before="0" w:after="0"/>
              <w:ind w:hanging="0"/>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bl>
    <w:p>
      <w:pPr>
        <w:pStyle w:val="Heading1"/>
        <w:spacing w:before="160" w:after="160"/>
        <w:rPr>
          <w:rFonts w:ascii="Liberation Serif" w:hAnsi="Liberation Serif"/>
          <w:sz w:val="24"/>
          <w:szCs w:val="24"/>
        </w:rPr>
      </w:pPr>
      <w:r>
        <w:rPr>
          <w:rFonts w:cs="Times New Roman" w:ascii="Liberation Serif" w:hAnsi="Liberation Serif"/>
          <w:b/>
          <w:color w:val="auto"/>
          <w:sz w:val="24"/>
          <w:szCs w:val="24"/>
        </w:rPr>
        <w:t xml:space="preserve"> </w:t>
      </w:r>
      <w:bookmarkStart w:id="30" w:name="_Toc215581913"/>
      <w:bookmarkStart w:id="31" w:name="_Toc194393527"/>
      <w:r>
        <w:rPr>
          <w:rFonts w:cs="Times New Roman" w:ascii="Liberation Serif" w:hAnsi="Liberation Serif"/>
          <w:b/>
          <w:color w:val="auto"/>
          <w:sz w:val="24"/>
          <w:szCs w:val="24"/>
        </w:rPr>
        <w:t xml:space="preserve">10 </w:t>
      </w:r>
      <w:bookmarkStart w:id="32" w:name="Сценарии"/>
      <w:bookmarkStart w:id="33" w:name="_Toc193125381"/>
      <w:r>
        <w:rPr>
          <w:rFonts w:cs="Times New Roman" w:ascii="Liberation Serif" w:hAnsi="Liberation Serif"/>
          <w:b/>
          <w:color w:val="auto"/>
          <w:sz w:val="24"/>
          <w:szCs w:val="24"/>
        </w:rPr>
        <w:t>Сценарии наиболее вероятных аварий и наиболее опасных по последствиям аварий, а также источники (места) их возникновения</w:t>
      </w:r>
      <w:bookmarkEnd w:id="30"/>
      <w:bookmarkEnd w:id="31"/>
      <w:bookmarkEnd w:id="32"/>
      <w:bookmarkEnd w:id="33"/>
    </w:p>
    <w:p>
      <w:pPr>
        <w:pStyle w:val="Normal"/>
        <w:ind w:hanging="0"/>
        <w:rPr>
          <w:rFonts w:ascii="Liberation Serif" w:hAnsi="Liberation Serif"/>
          <w:sz w:val="24"/>
          <w:szCs w:val="24"/>
        </w:rPr>
      </w:pPr>
      <w:r>
        <w:rPr>
          <w:rFonts w:cs="Times New Roman" w:ascii="Liberation Serif" w:hAnsi="Liberation Serif"/>
          <w:i/>
          <w:iCs/>
          <w:sz w:val="24"/>
          <w:szCs w:val="24"/>
        </w:rPr>
        <w:t>Таблица 11 - Сценарии наиболее вероятных аварий и наиболее опасных по последствиям аварий, а также источники (места) их возникновения</w:t>
      </w:r>
    </w:p>
    <w:tbl>
      <w:tblPr>
        <w:tblW w:w="4950" w:type="pct"/>
        <w:jc w:val="start"/>
        <w:tblInd w:w="-5" w:type="dxa"/>
        <w:tblLayout w:type="fixed"/>
        <w:tblCellMar>
          <w:top w:w="0" w:type="dxa"/>
          <w:start w:w="149" w:type="dxa"/>
          <w:bottom w:w="0" w:type="dxa"/>
          <w:end w:w="149" w:type="dxa"/>
        </w:tblCellMar>
        <w:tblLook w:val="04a0" w:noHBand="0" w:noVBand="1" w:firstColumn="1" w:lastRow="0" w:lastColumn="0" w:firstRow="1"/>
      </w:tblPr>
      <w:tblGrid>
        <w:gridCol w:w="2766"/>
        <w:gridCol w:w="3195"/>
        <w:gridCol w:w="4032"/>
      </w:tblGrid>
      <w:tr>
        <w:trPr/>
        <w:tc>
          <w:tcPr>
            <w:tcW w:w="2766"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Вид аварийной ситуации</w:t>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Причина возникновения аварийной ситуации</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Масштаб аварийной ситуации и последствия</w:t>
            </w:r>
          </w:p>
        </w:tc>
      </w:tr>
      <w:tr>
        <w:trPr/>
        <w:tc>
          <w:tcPr>
            <w:tcW w:w="2766" w:type="dxa"/>
            <w:vMerge w:val="restart"/>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Остановка теплоисточника</w:t>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подачи электроэнергии</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циркуляции воды в системе отопления потребителей, понижение температуры внутри помещений потребителей, размораживание тепловых сетей и систем отопления</w:t>
            </w:r>
          </w:p>
        </w:tc>
      </w:tr>
      <w:tr>
        <w:trPr/>
        <w:tc>
          <w:tcPr>
            <w:tcW w:w="276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cs="Times New Roman"/>
                <w:sz w:val="24"/>
                <w:szCs w:val="24"/>
              </w:rPr>
            </w:pPr>
            <w:r>
              <w:rPr>
                <w:rFonts w:cs="Times New Roman" w:ascii="Liberation Serif" w:hAnsi="Liberation Serif"/>
                <w:sz w:val="24"/>
                <w:szCs w:val="24"/>
              </w:rPr>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подачи топлива</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Прогрессирующее снижение температуры теплоносителя в системе отопления потребителей, понижение температуры</w:t>
            </w:r>
          </w:p>
          <w:p>
            <w:pPr>
              <w:pStyle w:val="Normal"/>
              <w:ind w:hanging="0" w:start="-8"/>
              <w:jc w:val="center"/>
              <w:rPr>
                <w:rFonts w:ascii="Liberation Serif" w:hAnsi="Liberation Serif"/>
                <w:sz w:val="24"/>
                <w:szCs w:val="24"/>
              </w:rPr>
            </w:pPr>
            <w:r>
              <w:rPr>
                <w:rFonts w:cs="Times New Roman" w:ascii="Liberation Serif" w:hAnsi="Liberation Serif"/>
                <w:sz w:val="24"/>
                <w:szCs w:val="24"/>
              </w:rPr>
              <w:t>внутри помещений потребителей</w:t>
            </w:r>
          </w:p>
        </w:tc>
      </w:tr>
      <w:tr>
        <w:trPr/>
        <w:tc>
          <w:tcPr>
            <w:tcW w:w="276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cs="Times New Roman"/>
                <w:sz w:val="24"/>
                <w:szCs w:val="24"/>
              </w:rPr>
            </w:pPr>
            <w:r>
              <w:rPr>
                <w:rFonts w:cs="Times New Roman" w:ascii="Liberation Serif" w:hAnsi="Liberation Serif"/>
                <w:sz w:val="24"/>
                <w:szCs w:val="24"/>
              </w:rPr>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подачи холодного водоснабжения</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циркуляции воды в системе отопления потребителей, понижение температуры внутри помещений потребителей, размораживание тепловых сетей и систем отопления потребителей</w:t>
            </w:r>
          </w:p>
        </w:tc>
      </w:tr>
      <w:tr>
        <w:trPr/>
        <w:tc>
          <w:tcPr>
            <w:tcW w:w="2766" w:type="dxa"/>
            <w:vMerge w:val="continue"/>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cs="Times New Roman"/>
                <w:sz w:val="24"/>
                <w:szCs w:val="24"/>
              </w:rPr>
            </w:pPr>
            <w:r>
              <w:rPr>
                <w:rFonts w:cs="Times New Roman" w:ascii="Liberation Serif" w:hAnsi="Liberation Serif"/>
                <w:sz w:val="24"/>
                <w:szCs w:val="24"/>
              </w:rPr>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Выход из строя основного оборудования или автоматики безопасности</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Снижение температуры теплоносителя в системе отопления потребителей, понижение температуры внутри помещений потребителей</w:t>
            </w:r>
          </w:p>
        </w:tc>
      </w:tr>
      <w:tr>
        <w:trPr/>
        <w:tc>
          <w:tcPr>
            <w:tcW w:w="2766"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Повреждение тепловых сетей</w:t>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Предельный износ сетей, гидродинамические удары, внешнее воздействие.</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подачи теплоносителя в системе отопления потребителей, понижение температуры, внутри помещений потребителей размораживание тепловых сетей и систем отопления потребителей</w:t>
            </w:r>
          </w:p>
        </w:tc>
      </w:tr>
      <w:tr>
        <w:trPr/>
        <w:tc>
          <w:tcPr>
            <w:tcW w:w="2766"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Пожар на теплоисточнике</w:t>
            </w:r>
          </w:p>
        </w:tc>
        <w:tc>
          <w:tcPr>
            <w:tcW w:w="3195"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Пожар в ЦТП или в непосредственной близости от объекта</w:t>
            </w:r>
          </w:p>
        </w:tc>
        <w:tc>
          <w:tcPr>
            <w:tcW w:w="4032" w:type="dxa"/>
            <w:tcBorders>
              <w:top w:val="single" w:sz="4" w:space="0" w:color="000000"/>
              <w:start w:val="single" w:sz="4" w:space="0" w:color="000000"/>
              <w:bottom w:val="single" w:sz="4" w:space="0" w:color="000000"/>
              <w:end w:val="single" w:sz="4" w:space="0" w:color="000000"/>
            </w:tcBorders>
            <w:shd w:color="auto" w:fill="auto" w:val="clear"/>
          </w:tcPr>
          <w:p>
            <w:pPr>
              <w:pStyle w:val="Normal"/>
              <w:ind w:hanging="0" w:start="-8"/>
              <w:jc w:val="center"/>
              <w:rPr>
                <w:rFonts w:ascii="Liberation Serif" w:hAnsi="Liberation Serif"/>
                <w:sz w:val="24"/>
                <w:szCs w:val="24"/>
              </w:rPr>
            </w:pPr>
            <w:r>
              <w:rPr>
                <w:rFonts w:cs="Times New Roman" w:ascii="Liberation Serif" w:hAnsi="Liberation Serif"/>
                <w:sz w:val="24"/>
                <w:szCs w:val="24"/>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r>
    </w:tbl>
    <w:p>
      <w:pPr>
        <w:pStyle w:val="Normal"/>
        <w:rPr>
          <w:rFonts w:ascii="Liberation Serif" w:hAnsi="Liberation Serif"/>
          <w:sz w:val="24"/>
          <w:szCs w:val="24"/>
        </w:rPr>
      </w:pPr>
      <w:r>
        <w:rPr>
          <w:rFonts w:cs="Times New Roman" w:ascii="Liberation Serif" w:hAnsi="Liberation Serif"/>
          <w:sz w:val="24"/>
          <w:szCs w:val="24"/>
        </w:rPr>
        <w:t>К перечню возможных последствий аварийных ситуаций на тепловых сетях и источниках тепловой энергии относятся:</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кратковременное нарушение теплоснабжения населения, объектов социальной сферы;</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полное ограничение режима потребления тепловой энергии для населения, объектов социальной сферы;</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причинение вреда третьим лицам;</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разрушение объектов теплоснабжения (котлов, тепловых сетей,).</w:t>
      </w:r>
    </w:p>
    <w:p>
      <w:pPr>
        <w:pStyle w:val="Normal"/>
        <w:rPr>
          <w:rFonts w:ascii="Liberation Serif" w:hAnsi="Liberation Serif"/>
          <w:sz w:val="24"/>
          <w:szCs w:val="24"/>
        </w:rPr>
      </w:pPr>
      <w:r>
        <w:rPr>
          <w:rFonts w:eastAsia="Calibri" w:cs="Times New Roman" w:ascii="Liberation Serif" w:hAnsi="Liberation Serif"/>
          <w:sz w:val="24"/>
          <w:szCs w:val="24"/>
          <w:u w:val="single"/>
        </w:rPr>
        <w:t>Выводы из обстановки:</w:t>
      </w:r>
    </w:p>
    <w:p>
      <w:pPr>
        <w:pStyle w:val="Normal"/>
        <w:rPr>
          <w:rFonts w:ascii="Liberation Serif" w:hAnsi="Liberation Serif"/>
          <w:sz w:val="24"/>
          <w:szCs w:val="24"/>
        </w:rPr>
      </w:pPr>
      <w:r>
        <w:rPr>
          <w:rFonts w:cs="Times New Roman" w:ascii="Liberation Serif" w:hAnsi="Liberation Serif"/>
          <w:sz w:val="24"/>
          <w:szCs w:val="24"/>
        </w:rPr>
        <w:t>Наиболее вероятными причинами возникновения аварий и сбоев в работе могут послужить:</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перебои в топливоснабжении;</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перебои в электроснабжении;</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перебои в водоснабжении;</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износ оборудования;</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неблагоприятные погодно-климатические явления;</w:t>
      </w:r>
    </w:p>
    <w:p>
      <w:pPr>
        <w:pStyle w:val="ListParagraph"/>
        <w:numPr>
          <w:ilvl w:val="0"/>
          <w:numId w:val="3"/>
        </w:numPr>
        <w:spacing w:lineRule="auto" w:line="360" w:before="0" w:after="0"/>
        <w:ind w:firstLine="709" w:start="0"/>
        <w:contextualSpacing/>
        <w:rPr>
          <w:rFonts w:ascii="Liberation Serif" w:hAnsi="Liberation Serif"/>
          <w:sz w:val="24"/>
          <w:szCs w:val="24"/>
        </w:rPr>
      </w:pPr>
      <w:r>
        <w:rPr>
          <w:rFonts w:ascii="Liberation Serif" w:hAnsi="Liberation Serif"/>
          <w:sz w:val="24"/>
          <w:szCs w:val="24"/>
        </w:rPr>
        <w:t xml:space="preserve">человеческий фактор. </w:t>
      </w:r>
      <w:bookmarkStart w:id="34" w:name="Переченьмероприятий"/>
      <w:bookmarkStart w:id="35" w:name="_Toc193125389"/>
    </w:p>
    <w:p>
      <w:pPr>
        <w:pStyle w:val="Heading1"/>
        <w:spacing w:before="160" w:after="160"/>
        <w:rPr>
          <w:rFonts w:ascii="Liberation Serif" w:hAnsi="Liberation Serif"/>
          <w:sz w:val="24"/>
          <w:szCs w:val="24"/>
        </w:rPr>
      </w:pPr>
      <w:bookmarkStart w:id="36" w:name="_Toc215581914"/>
      <w:r>
        <w:rPr>
          <w:rFonts w:cs="Times New Roman" w:ascii="Liberation Serif" w:hAnsi="Liberation Serif"/>
          <w:b/>
          <w:color w:val="auto"/>
          <w:sz w:val="24"/>
          <w:szCs w:val="24"/>
        </w:rPr>
        <w:t>11 Перечень мероприятий, направленных на обеспечение безопасности населения (в случае если в результате аварий на объекте теплоснабжения может возникнуть угроза безопасности населения</w:t>
      </w:r>
      <w:bookmarkStart w:id="37" w:name="_Toc193125390"/>
      <w:bookmarkEnd w:id="34"/>
      <w:bookmarkEnd w:id="35"/>
      <w:bookmarkEnd w:id="36"/>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lang w:eastAsia="ar-SA"/>
        </w:rPr>
        <w:t xml:space="preserve">Администрация Тугулымского муниципального округа на постоянной основе в соответствии с Федеральным законом </w:t>
      </w:r>
      <w:r>
        <w:rPr>
          <w:rFonts w:ascii="Liberation Serif" w:hAnsi="Liberation Serif"/>
          <w:iCs/>
          <w:sz w:val="24"/>
          <w:szCs w:val="24"/>
        </w:rPr>
        <w:t>от 21.12.1994 N 68-ФЗ</w:t>
      </w:r>
      <w:r>
        <w:rPr>
          <w:rFonts w:ascii="Liberation Serif" w:hAnsi="Liberation Serif"/>
          <w:iCs/>
          <w:sz w:val="24"/>
          <w:szCs w:val="24"/>
          <w:lang w:eastAsia="ar-SA"/>
        </w:rPr>
        <w:t xml:space="preserve"> </w:t>
      </w:r>
      <w:r>
        <w:rPr>
          <w:rFonts w:ascii="Liberation Serif" w:hAnsi="Liberation Serif"/>
          <w:iCs/>
          <w:sz w:val="24"/>
          <w:szCs w:val="24"/>
        </w:rPr>
        <w:t>"О защите населения и территорий от чрезвычайных ситуаций природного и техногенного характера»</w:t>
      </w:r>
      <w:r>
        <w:rPr>
          <w:rFonts w:ascii="Liberation Serif" w:hAnsi="Liberation Serif"/>
          <w:iCs/>
          <w:sz w:val="24"/>
          <w:szCs w:val="24"/>
          <w:lang w:eastAsia="ar-SA"/>
        </w:rPr>
        <w:t xml:space="preserve"> проводит мероприятия, направленные на обеспечение безопасности населения, в том числе и в случае возникновения угрозы безопасности населения в результате аварии на объекте теплоснабжения</w:t>
      </w:r>
      <w:r>
        <w:rPr>
          <w:rFonts w:ascii="Liberation Serif" w:hAnsi="Liberation Serif"/>
          <w:iCs/>
          <w:sz w:val="24"/>
          <w:szCs w:val="24"/>
        </w:rPr>
        <w:t>:</w:t>
      </w:r>
      <w:bookmarkStart w:id="38" w:name="_Toc193125391"/>
      <w:bookmarkEnd w:id="37"/>
      <w:r>
        <w:rPr>
          <w:rFonts w:ascii="Liberation Serif" w:hAnsi="Liberation Serif"/>
          <w:iCs/>
          <w:sz w:val="24"/>
          <w:szCs w:val="24"/>
        </w:rPr>
        <w:t xml:space="preserve"> </w:t>
      </w:r>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rPr>
        <w:t>- осуществляет подготовку и содержание в готовности необходимых сил и средств для защиты населения и территорий от чрезвычайных ситуаций, а также подготовку населения в области защиты от чрезвычайных ситуаций;</w:t>
      </w:r>
      <w:bookmarkStart w:id="39" w:name="_Toc193125392"/>
      <w:bookmarkEnd w:id="38"/>
      <w:r>
        <w:rPr>
          <w:rFonts w:ascii="Liberation Serif" w:hAnsi="Liberation Serif"/>
          <w:iCs/>
          <w:sz w:val="24"/>
          <w:szCs w:val="24"/>
        </w:rPr>
        <w:t xml:space="preserve"> </w:t>
      </w:r>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rPr>
        <w:t>- принимает решение об отнесении возникших чрезвычайных ситуаций к чрезвычайным ситуациям муниципального характера, организует и осуществляет проведение эвакуационных мероприятий при угрозе возникновения или возникновении чрезвычайных ситуаций;</w:t>
      </w:r>
      <w:bookmarkStart w:id="40" w:name="_Toc193125393"/>
      <w:bookmarkEnd w:id="39"/>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rPr>
        <w:t>-  осуществляет информирование населения о чрезвычайных ситуациях;</w:t>
      </w:r>
      <w:bookmarkStart w:id="41" w:name="_Toc193125394"/>
      <w:bookmarkEnd w:id="40"/>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rPr>
        <w:t>осуществляет финансирование мероприятий в области защиты населения и территорий от чрезвычайных ситуаций и создаёт резервы финансовых и материальных ресурсов для ликвидации чрезвычайных ситуаций;</w:t>
      </w:r>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rPr>
        <w:t>-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исполнительным органам субъектов Российской Федерации;</w:t>
      </w:r>
    </w:p>
    <w:p>
      <w:pPr>
        <w:pStyle w:val="ListParagraph"/>
        <w:spacing w:lineRule="auto" w:line="360" w:before="0" w:after="0"/>
        <w:ind w:firstLine="709" w:start="0"/>
        <w:contextualSpacing/>
        <w:rPr>
          <w:rFonts w:ascii="Liberation Serif" w:hAnsi="Liberation Serif"/>
          <w:sz w:val="24"/>
          <w:szCs w:val="24"/>
        </w:rPr>
      </w:pPr>
      <w:r>
        <w:rPr>
          <w:rFonts w:ascii="Liberation Serif" w:hAnsi="Liberation Serif"/>
          <w:iCs/>
          <w:sz w:val="24"/>
          <w:szCs w:val="24"/>
        </w:rPr>
        <w:t>- содействует устойчивому функционированию организаций в чрезвычайных ситуациях; создаёт постоянно действующие органы управления, специально уполномоченные на решение задач в области защиты населения и территорий от чрезвычайных ситуаций; вводит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 создаёт и поддерживает в постоянной готовности муниципальные системы оповещения и информирования населения о чрезвычайных ситуациях;</w:t>
      </w:r>
    </w:p>
    <w:p>
      <w:pPr>
        <w:pStyle w:val="Normal"/>
        <w:rPr/>
      </w:pPr>
      <w:bookmarkStart w:id="42" w:name="_Toc193125401"/>
      <w:bookmarkEnd w:id="41"/>
      <w:r>
        <w:rPr>
          <w:rFonts w:eastAsia="Times New Roman" w:cs="Times New Roman" w:ascii="Liberation Serif" w:hAnsi="Liberation Serif"/>
          <w:iCs/>
          <w:sz w:val="24"/>
          <w:szCs w:val="24"/>
          <w:lang w:eastAsia="ru-RU"/>
        </w:rPr>
        <w:t xml:space="preserve">- осуществляет сбор информации в области защиты населения и территорий от чрезвычайных ситуаций и обмен такой информацией, обеспечивает, в том числе с использованием </w:t>
      </w:r>
      <w:hyperlink r:id="rId6" w:tooltip="&quot;Концепция создания комплексной системы информирования и оповещения населения при угрозе и возникновении чрезвычайных ситуаций&quot; (принята протоколом заседания Правительственной комиссии по предупреждению и ликвидации чрезвычайных ситуаций и обеспечению пожарной">
        <w:r>
          <w:rPr>
            <w:rStyle w:val="Style5"/>
            <w:rFonts w:eastAsia="Times New Roman" w:cs="Times New Roman" w:ascii="Liberation Serif" w:hAnsi="Liberation Serif"/>
            <w:iCs/>
            <w:sz w:val="24"/>
            <w:szCs w:val="24"/>
            <w:lang w:eastAsia="ru-RU"/>
          </w:rPr>
          <w:t>комплексной системы</w:t>
        </w:r>
      </w:hyperlink>
      <w:r>
        <w:rPr>
          <w:rFonts w:eastAsia="Times New Roman" w:cs="Times New Roman" w:ascii="Liberation Serif" w:hAnsi="Liberation Serif"/>
          <w:iCs/>
          <w:sz w:val="24"/>
          <w:szCs w:val="24"/>
          <w:lang w:eastAsia="ru-RU"/>
        </w:rPr>
        <w:t xml:space="preserve"> экстренного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bookmarkStart w:id="43" w:name="_Toc193125402"/>
      <w:bookmarkEnd w:id="42"/>
      <w:r>
        <w:rPr>
          <w:rFonts w:eastAsia="Times New Roman" w:cs="Times New Roman" w:ascii="Liberation Serif" w:hAnsi="Liberation Serif"/>
          <w:iCs/>
          <w:sz w:val="24"/>
          <w:szCs w:val="24"/>
          <w:lang w:eastAsia="ru-RU"/>
        </w:rPr>
        <w:t xml:space="preserve"> разрабатывает и утверждает планы действий по предупреждению и ликвидации чрезвычайных ситуаций на территориях муниципальных образований.</w:t>
      </w:r>
      <w:bookmarkEnd w:id="43"/>
    </w:p>
    <w:p>
      <w:pPr>
        <w:pStyle w:val="Heading1"/>
        <w:spacing w:before="160" w:after="160"/>
        <w:rPr>
          <w:rFonts w:ascii="Liberation Serif" w:hAnsi="Liberation Serif"/>
          <w:sz w:val="24"/>
          <w:szCs w:val="24"/>
        </w:rPr>
      </w:pPr>
      <w:bookmarkStart w:id="44" w:name="_Toc215581915"/>
      <w:bookmarkStart w:id="45" w:name="_Toc194393528"/>
      <w:r>
        <w:rPr>
          <w:rFonts w:cs="Times New Roman" w:ascii="Liberation Serif" w:hAnsi="Liberation Serif"/>
          <w:b/>
          <w:color w:val="auto"/>
          <w:sz w:val="24"/>
          <w:szCs w:val="24"/>
        </w:rPr>
        <w:t>12 Регламент взаимодействия организаций при ликвидации аварийных ситуаций на объектах теплоснабжения и теплопотребления</w:t>
      </w:r>
      <w:bookmarkEnd w:id="44"/>
      <w:bookmarkEnd w:id="45"/>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12.1 При возникновении аварийной ситуации на объектах теплоснабжения теплоснабжающая и теплосетевая организации, владельцы тепловых сетей обязаны:</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 xml:space="preserve">12.1.1 Передать оперативную информацию о возникновении аварийной ситуации в «ЕДДС» Тугулымского муниципального округа, </w:t>
      </w:r>
      <w:r>
        <w:rPr>
          <w:rFonts w:ascii="Liberation Serif" w:hAnsi="Liberation Serif"/>
          <w:spacing w:val="2"/>
          <w:sz w:val="24"/>
          <w:szCs w:val="24"/>
        </w:rPr>
        <w:t>ДС потребителей или ответственным лицам за эксплуатацию объектов теплопотребления;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color w:themeColor="text1" w:val="000000"/>
          <w:sz w:val="24"/>
          <w:szCs w:val="24"/>
        </w:rPr>
        <w:t>12.1.2</w:t>
      </w:r>
      <w:r>
        <w:rPr>
          <w:rFonts w:ascii="Liberation Serif" w:hAnsi="Liberation Serif"/>
          <w:sz w:val="24"/>
          <w:szCs w:val="24"/>
        </w:rPr>
        <w:t xml:space="preserve"> Принять меры по защите населения от воздействия негативных последствий аварийной ситуации на объектах теплоснабжения;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color w:themeColor="text1" w:val="000000"/>
          <w:sz w:val="24"/>
          <w:szCs w:val="24"/>
        </w:rPr>
        <w:t xml:space="preserve">12.1.3 Направить уведомление в организации и собственникам сетей, сети которых расположены в зоне производства работ, для согласования и получения необходимых разрешений для проведения аварийных работ; </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12.1.4 Осуществить мероприятия по локализации и ликвидации последствий аварийной ситуации на объекте;</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12.1.5 По завершению мероприятий по ликвидации аварийной ситуации и подключение объектов к теплоснабжению, довести данную информацию до «ЕДДС» Тугулымского муниципального округа, дежурных, диспетчерских, дежурно-диспетчерских служб или ответственным лицам потребителей тепловой энергии;</w:t>
      </w:r>
    </w:p>
    <w:p>
      <w:pPr>
        <w:pStyle w:val="formattext"/>
        <w:spacing w:lineRule="auto" w:line="360" w:beforeAutospacing="0" w:before="0" w:afterAutospacing="0" w:after="0"/>
        <w:ind w:firstLine="709"/>
        <w:jc w:val="both"/>
        <w:textAlignment w:val="baseline"/>
        <w:rPr/>
      </w:pPr>
      <w:r>
        <w:rPr>
          <w:rFonts w:ascii="Liberation Serif" w:hAnsi="Liberation Serif"/>
          <w:sz w:val="24"/>
          <w:szCs w:val="24"/>
        </w:rPr>
        <w:t xml:space="preserve"> </w:t>
      </w:r>
      <w:r>
        <w:rPr>
          <w:rFonts w:ascii="Liberation Serif" w:hAnsi="Liberation Serif"/>
          <w:sz w:val="24"/>
          <w:szCs w:val="24"/>
        </w:rPr>
        <w:t xml:space="preserve">12.1.6 Организовать расследование причин аварийной ситуации согласно пункту 4 Правил расследования причин аварийных ситуаций при теплоснабжении, утверждённых Постановлением Правительства РФ от 02.06.2022 № 1014. В отношении опасных производственных объектов организовать техническое расследование в соответствии со статьей 12 </w:t>
      </w:r>
      <w:hyperlink r:id="rId7">
        <w:r>
          <w:rPr>
            <w:rStyle w:val="Style5"/>
            <w:rFonts w:ascii="Liberation Serif" w:hAnsi="Liberation Serif"/>
            <w:sz w:val="24"/>
            <w:szCs w:val="24"/>
          </w:rPr>
          <w:t>Федерального закона от 21.07.1997 N 116-ФЗ «О промышленной безопасности опасных производственных объектов»</w:t>
        </w:r>
      </w:hyperlink>
      <w:r>
        <w:rPr>
          <w:rFonts w:ascii="Liberation Serif" w:hAnsi="Liberation Serif"/>
          <w:sz w:val="24"/>
          <w:szCs w:val="24"/>
        </w:rPr>
        <w:t>;</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12.2 При возникновении аварийных ситуаций на системах теплопотребления дежурные, диспетчерские, дежурно-диспетчерские службы или лица ответственные за эксплуатацию объектов обязаны:</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12.2.1 С момента поступления заявки на устранение аварийной ситуации, организовать незамедлительную передачу информации в «ЕДДС» Тугулымского муниципального округа и организовать информирование населения о характере аварийной ситуации, ориентировочном времени её устранения;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12.2.2 Незамедлительно приступить к проведению аварийно-восстановительных работ, при этом осуществлять информационное взаимодействие с теплоснабжающей или теплосетевой организациями;</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12.2.3 После ликвидации аварийной ситуации проинформировать население, «ЕДДС» Тугулымского муниципального округа и при необходимости теплоснабжающую или теплосетевую организации.</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12.3 В случае возникновения аварийной ситуации на объектах теплоснабжения, имеющих признаки бесхозяйного имущества, теплоснабжающие, теплосетевые организации, потребители тепловой энергии информируют об этом «ЕДДС» Тугулымского муниципального округа, а также орган местного самоуправления.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12.4 Администрация Тугулымского муниципального округа согласно схеме теплоснабжения муниципального образования Тугулымского муниципального округа устанавливает единую теплоснабжающую организацию, в зоне которой расположен бесхозяйный объект, и теплосетевую организацию, имеющую технологическую связь с бесхозяйным объектом теплоснабжения. Администрация Тугулымского муниципального округа, на территории которого выявлен бесхозяйный объект, определяет теплоснабжающую или теплосетевую организацию, ответственную за устранение аварийной ситуации и незамедлительно составляет акт по выявлению бесхозяйного объекта теплоснабжения.</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 xml:space="preserve">12.4.1 Контроль за выполнением аварийно-восстановительных работ осуществляется заместителем Главы Администрации Тугулымского муниципального округа, курирующим вопросы жилищного и коммунального хозяйства, на территории которого произошла аварийная ситуация. </w:t>
      </w:r>
    </w:p>
    <w:p>
      <w:pPr>
        <w:pStyle w:val="formattext"/>
        <w:spacing w:lineRule="auto" w:line="360" w:beforeAutospacing="0" w:before="0" w:afterAutospacing="0" w:after="0"/>
        <w:ind w:firstLine="709"/>
        <w:jc w:val="both"/>
        <w:textAlignment w:val="baseline"/>
        <w:rPr>
          <w:rFonts w:ascii="Liberation Serif" w:hAnsi="Liberation Serif"/>
          <w:sz w:val="24"/>
          <w:szCs w:val="24"/>
        </w:rPr>
      </w:pPr>
      <w:r>
        <w:rPr>
          <w:rFonts w:ascii="Liberation Serif" w:hAnsi="Liberation Serif"/>
          <w:sz w:val="24"/>
          <w:szCs w:val="24"/>
        </w:rPr>
        <w:t xml:space="preserve">12.4.2 Взаимодействие организаций при проведении аварийно-восстановительных работ на бесхозяйных объектах теплоснабжения осуществляется в соответствии с Приложением 4. </w:t>
      </w:r>
    </w:p>
    <w:p>
      <w:pPr>
        <w:pStyle w:val="Heading1"/>
        <w:spacing w:before="160" w:after="160"/>
        <w:rPr>
          <w:rFonts w:ascii="Liberation Serif" w:hAnsi="Liberation Serif"/>
          <w:sz w:val="24"/>
          <w:szCs w:val="24"/>
        </w:rPr>
      </w:pPr>
      <w:bookmarkStart w:id="46" w:name="_Toc215581916"/>
      <w:bookmarkStart w:id="47" w:name="_Toc194393529"/>
      <w:r>
        <w:rPr>
          <w:rFonts w:cs="Times New Roman" w:ascii="Liberation Serif" w:hAnsi="Liberation Serif"/>
          <w:b/>
          <w:color w:val="auto"/>
          <w:sz w:val="24"/>
          <w:szCs w:val="24"/>
        </w:rPr>
        <w:t>13 Организация работ</w:t>
      </w:r>
      <w:bookmarkEnd w:id="46"/>
      <w:bookmarkEnd w:id="47"/>
    </w:p>
    <w:p>
      <w:pPr>
        <w:pStyle w:val="Normal"/>
        <w:rPr>
          <w:rFonts w:ascii="Liberation Serif" w:hAnsi="Liberation Serif"/>
          <w:sz w:val="24"/>
          <w:szCs w:val="24"/>
        </w:rPr>
      </w:pPr>
      <w:r>
        <w:rPr>
          <w:rFonts w:cs="Times New Roman" w:ascii="Liberation Serif" w:hAnsi="Liberation Serif"/>
          <w:sz w:val="24"/>
          <w:szCs w:val="24"/>
        </w:rPr>
        <w:t>13.1 Планирование и организация ремонтно-восстановительных работ на теплогенерирующих объектах (далее – ТГО) и тепловых сетях (далее – ТС) осуществляется руководством   теплогенерирующих (теплосетевых) организаций.</w:t>
      </w:r>
      <w:r>
        <w:rPr>
          <w:rFonts w:cs="Times New Roman" w:ascii="Liberation Serif" w:hAnsi="Liberation Serif"/>
          <w:color w:val="FF0000"/>
          <w:sz w:val="24"/>
          <w:szCs w:val="24"/>
        </w:rPr>
        <w:t xml:space="preserve"> </w:t>
      </w:r>
    </w:p>
    <w:p>
      <w:pPr>
        <w:pStyle w:val="Normal"/>
        <w:rPr>
          <w:rFonts w:ascii="Liberation Serif" w:hAnsi="Liberation Serif"/>
          <w:sz w:val="24"/>
          <w:szCs w:val="24"/>
        </w:rPr>
      </w:pPr>
      <w:r>
        <w:rPr>
          <w:rFonts w:cs="Times New Roman" w:ascii="Liberation Serif" w:hAnsi="Liberation Serif"/>
          <w:sz w:val="24"/>
          <w:szCs w:val="24"/>
        </w:rPr>
        <w:t>Принятию решения на ликвидацию аварии предшествует оценка сложившейся обстановки, масштаба аварии и возможных последствий.</w:t>
      </w:r>
    </w:p>
    <w:p>
      <w:pPr>
        <w:pStyle w:val="Normal"/>
        <w:rPr>
          <w:rFonts w:ascii="Liberation Serif" w:hAnsi="Liberation Serif"/>
          <w:sz w:val="24"/>
          <w:szCs w:val="24"/>
        </w:rPr>
      </w:pPr>
      <w:r>
        <w:rPr>
          <w:rFonts w:cs="Times New Roman" w:ascii="Liberation Serif" w:hAnsi="Liberation Serif"/>
          <w:sz w:val="24"/>
          <w:szCs w:val="24"/>
        </w:rPr>
        <w:t xml:space="preserve">13.2 Работы проводятся на основании нормативных и распорядительных документов оформляемых организатором работ, на основе Плана ликвидации и локализации аварий и аварийных ситуаций.  </w:t>
      </w:r>
    </w:p>
    <w:p>
      <w:pPr>
        <w:pStyle w:val="Normal"/>
        <w:rPr>
          <w:rFonts w:ascii="Liberation Serif" w:hAnsi="Liberation Serif"/>
          <w:sz w:val="24"/>
          <w:szCs w:val="24"/>
        </w:rPr>
      </w:pPr>
      <w:r>
        <w:rPr>
          <w:rFonts w:cs="Times New Roman" w:ascii="Liberation Serif" w:hAnsi="Liberation Serif"/>
          <w:sz w:val="24"/>
          <w:szCs w:val="24"/>
        </w:rPr>
        <w:t xml:space="preserve">К работам привлекаются аварийно-ремонтные бригады, специальная техника и оборудование организаций, в ведении которых находятся ТГО (ТС) в круглосуточном режиме, посменно. </w:t>
      </w:r>
    </w:p>
    <w:p>
      <w:pPr>
        <w:pStyle w:val="Normal"/>
        <w:rPr>
          <w:rFonts w:ascii="Liberation Serif" w:hAnsi="Liberation Serif"/>
          <w:sz w:val="24"/>
          <w:szCs w:val="24"/>
        </w:rPr>
      </w:pPr>
      <w:r>
        <w:rPr>
          <w:rFonts w:cs="Times New Roman" w:ascii="Liberation Serif" w:hAnsi="Liberation Serif"/>
          <w:sz w:val="24"/>
          <w:szCs w:val="24"/>
        </w:rPr>
        <w:t xml:space="preserve">13.3 О причинах аварии, масштабах и возможных последствиях, планируемых сроках ремонтно-восстановительных работ, привлекаемых силах и средствах, руководитель работ информирует «ЕДДС» </w:t>
      </w:r>
      <w:r>
        <w:rPr>
          <w:rFonts w:ascii="Liberation Serif" w:hAnsi="Liberation Serif"/>
          <w:sz w:val="24"/>
          <w:szCs w:val="24"/>
        </w:rPr>
        <w:t>Тугулымского муниципального округа</w:t>
      </w:r>
      <w:r>
        <w:rPr>
          <w:rFonts w:cs="Times New Roman" w:ascii="Liberation Serif" w:hAnsi="Liberation Serif"/>
          <w:sz w:val="24"/>
          <w:szCs w:val="24"/>
        </w:rPr>
        <w:t xml:space="preserve"> не позднее 20 мин. с момента происшествия, ЧС, администрацию муниципального образования.</w:t>
      </w:r>
    </w:p>
    <w:p>
      <w:pPr>
        <w:pStyle w:val="Normal"/>
        <w:rPr>
          <w:rFonts w:ascii="Liberation Serif" w:hAnsi="Liberation Serif"/>
          <w:sz w:val="24"/>
          <w:szCs w:val="24"/>
        </w:rPr>
      </w:pPr>
      <w:r>
        <w:rPr>
          <w:rFonts w:cs="Times New Roman" w:ascii="Liberation Serif" w:hAnsi="Liberation Serif"/>
          <w:sz w:val="24"/>
          <w:szCs w:val="24"/>
        </w:rPr>
        <w:t>О сложившейся обстановке население информируется Отделом по гражданской обороне и чрезвычайным ситуациям Администрации муниципального образования через систему оповещения и информирования, а также посредством размещения информации на официальном сайте администрации.</w:t>
      </w:r>
    </w:p>
    <w:p>
      <w:pPr>
        <w:pStyle w:val="Normal"/>
        <w:rPr>
          <w:rFonts w:ascii="Liberation Serif" w:hAnsi="Liberation Serif"/>
          <w:sz w:val="24"/>
          <w:szCs w:val="24"/>
        </w:rPr>
      </w:pPr>
      <w:r>
        <w:rPr>
          <w:rFonts w:cs="Times New Roman" w:ascii="Liberation Serif" w:hAnsi="Liberation Serif"/>
          <w:sz w:val="24"/>
          <w:szCs w:val="24"/>
        </w:rPr>
        <w:t>13.4 В случае необходимости привлечения дополнительных сил и средств к работам, руководитель работ докладывает Главе муниципального образования, председателю комиссии по предупреждению и ликвидации чрезвычайных ситуаций и обеспечению пожарной безопасности.</w:t>
      </w:r>
    </w:p>
    <w:p>
      <w:pPr>
        <w:pStyle w:val="Normal"/>
        <w:rPr>
          <w:rFonts w:ascii="Liberation Serif" w:hAnsi="Liberation Serif"/>
          <w:sz w:val="24"/>
          <w:szCs w:val="24"/>
        </w:rPr>
      </w:pPr>
      <w:r>
        <w:rPr>
          <w:rFonts w:cs="Times New Roman" w:ascii="Liberation Serif" w:hAnsi="Liberation Serif"/>
          <w:sz w:val="24"/>
          <w:szCs w:val="24"/>
        </w:rPr>
        <w:t>13.5 При угрозе возникновения чрезвычайной ситуации в результате аварии (аварийном отключении коммунально-технических систем жизнеобеспечения населения в жилых кварталах на сутки и более, а также в условиях критически низких температур окружающего воздуха) работы координирует комиссия по предупреждению и ликвидации ЧС и обеспечению пожарной безопасности муниципального образования.</w:t>
      </w:r>
    </w:p>
    <w:p>
      <w:pPr>
        <w:pStyle w:val="Normal"/>
        <w:rPr>
          <w:rFonts w:ascii="Liberation Serif" w:hAnsi="Liberation Serif"/>
          <w:sz w:val="24"/>
          <w:szCs w:val="24"/>
        </w:rPr>
      </w:pPr>
      <w:r>
        <w:rPr>
          <w:rFonts w:cs="Times New Roman" w:ascii="Liberation Serif" w:hAnsi="Liberation Serif"/>
          <w:sz w:val="24"/>
          <w:szCs w:val="24"/>
        </w:rPr>
        <w:t>13.6 Общую координацию действий оперативно-диспетчерских служб по эксплуатации локальной системы теплоснабжения осуществляет теплоснабжающая организация, по локализации и ликвидации аварийной ситуации - оперативно диспетчерская служба или администрация той организации, в границах эксплуатационной ответственности которой возникла аварийная ситуация.</w:t>
      </w:r>
    </w:p>
    <w:p>
      <w:pPr>
        <w:pStyle w:val="Normal"/>
        <w:rPr>
          <w:rFonts w:ascii="Liberation Serif" w:hAnsi="Liberation Serif"/>
          <w:sz w:val="24"/>
          <w:szCs w:val="24"/>
        </w:rPr>
      </w:pPr>
      <w:r>
        <w:rPr>
          <w:rFonts w:cs="Times New Roman" w:ascii="Liberation Serif" w:hAnsi="Liberation Serif"/>
          <w:sz w:val="24"/>
          <w:szCs w:val="24"/>
        </w:rPr>
        <w:t>13.7 Для проведения работ по локализации и ликвидации аварий каждая организация должна располагать необходимыми инструментами, механизмами, транспортом, передвижными сварочными установками, аварийным восполняемым запасом запорной арматуры и материалов. Объем аварийного запаса устанавливается в соответствии с действующими нормативами, место хранения определяется руководителями соответствующих организаций. Состав аварийно-восстановительных бригад, перечень машин и механизмов, приспособлений и материалов утверждаются руководителем организации.</w:t>
      </w:r>
    </w:p>
    <w:p>
      <w:pPr>
        <w:pStyle w:val="Normal"/>
        <w:spacing w:before="0" w:after="96"/>
        <w:rPr>
          <w:rFonts w:ascii="Liberation Serif" w:hAnsi="Liberation Serif"/>
          <w:sz w:val="24"/>
          <w:szCs w:val="24"/>
        </w:rPr>
      </w:pPr>
      <w:r>
        <w:rPr>
          <w:rFonts w:cs="Times New Roman" w:ascii="Liberation Serif" w:hAnsi="Liberation Serif"/>
          <w:sz w:val="24"/>
          <w:szCs w:val="24"/>
        </w:rPr>
        <w:t xml:space="preserve">Организации и предприятия всех форм собственности, имеющие свои коммуникации или сооружения в месте возникновения аварии, обязаны направить своих представителей по вызову ответственного лица теплоснабжающей организации или «ЕДДС» </w:t>
      </w:r>
      <w:r>
        <w:rPr>
          <w:rFonts w:ascii="Liberation Serif" w:hAnsi="Liberation Serif"/>
          <w:sz w:val="24"/>
          <w:szCs w:val="24"/>
        </w:rPr>
        <w:t>Тугулымского муниципального округа</w:t>
      </w:r>
      <w:r>
        <w:rPr>
          <w:rFonts w:cs="Times New Roman" w:ascii="Liberation Serif" w:hAnsi="Liberation Serif"/>
          <w:sz w:val="24"/>
          <w:szCs w:val="24"/>
        </w:rPr>
        <w:t>, для согласования условий производства работ по ликвидации аварии в течение 2 часов в любое время суток.</w:t>
      </w:r>
    </w:p>
    <w:p>
      <w:pPr>
        <w:pStyle w:val="Heading1"/>
        <w:spacing w:before="160" w:after="160"/>
        <w:rPr>
          <w:rFonts w:ascii="Liberation Serif" w:hAnsi="Liberation Serif"/>
          <w:sz w:val="24"/>
          <w:szCs w:val="24"/>
        </w:rPr>
      </w:pPr>
      <w:bookmarkStart w:id="48" w:name="_Toc215581917"/>
      <w:bookmarkStart w:id="49" w:name="_Toc194393530"/>
      <w:r>
        <w:rPr>
          <w:rFonts w:cs="Times New Roman" w:ascii="Liberation Serif" w:hAnsi="Liberation Serif"/>
          <w:b/>
          <w:color w:val="auto"/>
          <w:sz w:val="24"/>
          <w:szCs w:val="24"/>
        </w:rPr>
        <w:t>14 Электронное моделирование сценариев развития аварий в системе теплоснабжения с моделированием гидравлических режимов</w:t>
      </w:r>
      <w:bookmarkEnd w:id="48"/>
      <w:bookmarkEnd w:id="49"/>
    </w:p>
    <w:p>
      <w:pPr>
        <w:pStyle w:val="Normal"/>
        <w:spacing w:before="0" w:after="96"/>
        <w:rPr>
          <w:rFonts w:ascii="Liberation Serif" w:hAnsi="Liberation Serif"/>
          <w:sz w:val="24"/>
          <w:szCs w:val="24"/>
        </w:rPr>
      </w:pPr>
      <w:r>
        <w:rPr>
          <w:rFonts w:cs="Times New Roman" w:ascii="Liberation Serif" w:hAnsi="Liberation Serif"/>
          <w:bCs/>
          <w:sz w:val="24"/>
          <w:szCs w:val="24"/>
        </w:rPr>
        <w:t>Электронная модель – информационный комплекс, включающий в себя: базы данных, программное и техническое обеспечение, предназначенные для ввода, хранения, актуализации, обработки, анализа, представления, визуализации данных о системе организации и осуществления выработки и передачи ресурсов.</w:t>
      </w:r>
    </w:p>
    <w:p>
      <w:pPr>
        <w:pStyle w:val="Normal"/>
        <w:rPr>
          <w:rFonts w:ascii="Liberation Serif" w:hAnsi="Liberation Serif"/>
          <w:sz w:val="24"/>
          <w:szCs w:val="24"/>
        </w:rPr>
      </w:pPr>
      <w:r>
        <w:rPr>
          <w:rFonts w:eastAsia="SimSun" w:cs="Times New Roman" w:ascii="Liberation Serif" w:hAnsi="Liberation Serif"/>
          <w:color w:val="000000"/>
          <w:sz w:val="24"/>
          <w:szCs w:val="24"/>
          <w:lang w:eastAsia="ru-RU"/>
        </w:rPr>
        <w:t>При разработке схемы теплоснабжения электронная модель является основным инструментом для моделирования развития теплосетевых объектов, в том числе она позволяет решить оперативное моделирование обеспечения тепловой энергией потребителей при различных аварийных ситуациях, минимизацию вероятности возникновения аварийных ситуаций в системе теплоснабжения, обеспечить электронное моделирование перспективных вариантов развития системы теплоснабжения (строительство новых и реконструкция существующих источников тепловой энергии, перераспределение тепловых нагрузок между источниками, определение возможности подключения новых потребителей тепловой энергии, определение оптимальных вариантов качественного и надежного обеспечения тепловой энергией новых потребителей и так далее).</w:t>
      </w:r>
    </w:p>
    <w:p>
      <w:pPr>
        <w:pStyle w:val="Normal"/>
        <w:rPr>
          <w:rFonts w:ascii="Liberation Serif" w:hAnsi="Liberation Serif"/>
          <w:sz w:val="24"/>
          <w:szCs w:val="24"/>
        </w:rPr>
      </w:pPr>
      <w:r>
        <w:rPr>
          <w:rFonts w:eastAsia="SimSun" w:cs="Times New Roman" w:ascii="Liberation Serif" w:hAnsi="Liberation Serif"/>
          <w:color w:val="000000"/>
          <w:sz w:val="24"/>
          <w:szCs w:val="24"/>
          <w:lang w:eastAsia="ru-RU"/>
        </w:rPr>
        <w:t>Перечень потребителей тепловой энергии, попавших в зону отключения, определяется эксплуатирующей организацией с помощью программ электронного моделирования аварийных ситуаций.</w:t>
      </w:r>
    </w:p>
    <w:p>
      <w:pPr>
        <w:pStyle w:val="Normal"/>
        <w:rPr>
          <w:rFonts w:ascii="Liberation Serif" w:hAnsi="Liberation Serif"/>
          <w:sz w:val="24"/>
          <w:szCs w:val="24"/>
        </w:rPr>
      </w:pPr>
      <w:r>
        <w:rPr>
          <w:rFonts w:eastAsia="SimSun" w:cs="Times New Roman" w:ascii="Liberation Serif" w:hAnsi="Liberation Serif"/>
          <w:color w:val="000000"/>
          <w:sz w:val="24"/>
          <w:szCs w:val="24"/>
          <w:lang w:eastAsia="ru-RU"/>
        </w:rPr>
        <w:t>Задачи, решаемые с применением электронного моделирования ликвидации последствий аварийных ситуаций, относятся к процессам эксплуатации системы теплоснабжения, диспетчерскому и технологическому управлению системой. В эти задачи входят:</w:t>
      </w:r>
    </w:p>
    <w:p>
      <w:pPr>
        <w:pStyle w:val="Normal"/>
        <w:numPr>
          <w:ilvl w:val="0"/>
          <w:numId w:val="1"/>
        </w:numPr>
        <w:ind w:firstLine="709" w:start="0"/>
        <w:rPr>
          <w:rFonts w:ascii="Liberation Serif" w:hAnsi="Liberation Serif"/>
          <w:sz w:val="24"/>
          <w:szCs w:val="24"/>
        </w:rPr>
      </w:pPr>
      <w:r>
        <w:rPr>
          <w:rFonts w:eastAsia="SimSun" w:cs="Times New Roman" w:ascii="Liberation Serif" w:hAnsi="Liberation Serif"/>
          <w:color w:val="000000"/>
          <w:sz w:val="24"/>
          <w:szCs w:val="24"/>
          <w:lang w:eastAsia="ru-RU"/>
        </w:rPr>
        <w:t>моделирование изменений гидравлического режима при аварийных переключениях и отключениях;</w:t>
      </w:r>
    </w:p>
    <w:p>
      <w:pPr>
        <w:pStyle w:val="Normal"/>
        <w:numPr>
          <w:ilvl w:val="0"/>
          <w:numId w:val="1"/>
        </w:numPr>
        <w:ind w:firstLine="709" w:start="0"/>
        <w:rPr>
          <w:rFonts w:ascii="Liberation Serif" w:hAnsi="Liberation Serif"/>
          <w:sz w:val="24"/>
          <w:szCs w:val="24"/>
        </w:rPr>
      </w:pPr>
      <w:r>
        <w:rPr>
          <w:rFonts w:eastAsia="SimSun" w:cs="Times New Roman" w:ascii="Liberation Serif" w:hAnsi="Liberation Serif"/>
          <w:color w:val="000000"/>
          <w:sz w:val="24"/>
          <w:szCs w:val="24"/>
          <w:lang w:eastAsia="ru-RU"/>
        </w:rPr>
        <w:t>формирование рекомендаций по локализации аварийных ситуаций и моделирование последствий выполнения этих рекомендаций;</w:t>
      </w:r>
    </w:p>
    <w:p>
      <w:pPr>
        <w:pStyle w:val="Normal"/>
        <w:numPr>
          <w:ilvl w:val="0"/>
          <w:numId w:val="1"/>
        </w:numPr>
        <w:ind w:firstLine="709" w:start="0"/>
        <w:rPr>
          <w:rFonts w:ascii="Liberation Serif" w:hAnsi="Liberation Serif"/>
          <w:sz w:val="24"/>
          <w:szCs w:val="24"/>
        </w:rPr>
      </w:pPr>
      <w:r>
        <w:rPr>
          <w:rFonts w:eastAsia="SimSun" w:cs="Times New Roman" w:ascii="Liberation Serif" w:hAnsi="Liberation Serif"/>
          <w:color w:val="000000"/>
          <w:sz w:val="24"/>
          <w:szCs w:val="24"/>
          <w:lang w:eastAsia="ru-RU"/>
        </w:rPr>
        <w:t>формирование перечней и сводок по отключаемым абонентам.</w:t>
      </w:r>
    </w:p>
    <w:p>
      <w:pPr>
        <w:pStyle w:val="Normal"/>
        <w:rPr>
          <w:rFonts w:ascii="Liberation Serif" w:hAnsi="Liberation Serif"/>
          <w:sz w:val="24"/>
          <w:szCs w:val="24"/>
        </w:rPr>
      </w:pPr>
      <w:r>
        <w:rPr>
          <w:rFonts w:eastAsia="SimSun" w:cs="Times New Roman" w:ascii="Liberation Serif" w:hAnsi="Liberation Serif"/>
          <w:color w:val="000000"/>
          <w:sz w:val="24"/>
          <w:szCs w:val="24"/>
          <w:lang w:eastAsia="ru-RU"/>
        </w:rPr>
        <w:t xml:space="preserve">Электронное моделирование при ликвидации аварийных ситуаций используется дежурным техническим персоналом теплоснабжающих организаций </w:t>
        <w:br/>
        <w:t>для принятия оптимальных решений по ведению теплоснабжения в случае аварийной ситуации. На основании полученных результатов гидравлических расчетов в программно-расчетном комплексе при электронном моделировании дежурный диспетчер должен выдать рекомендации ремонтной бригаде для проведения переключений.</w:t>
      </w:r>
    </w:p>
    <w:p>
      <w:pPr>
        <w:pStyle w:val="Normal"/>
        <w:widowControl w:val="false"/>
        <w:rPr>
          <w:rFonts w:ascii="Liberation Serif" w:hAnsi="Liberation Serif"/>
          <w:sz w:val="24"/>
          <w:szCs w:val="24"/>
        </w:rPr>
      </w:pPr>
      <w:r>
        <w:rPr>
          <w:rFonts w:eastAsia="Times New Roman" w:cs="Times New Roman" w:ascii="Liberation Serif" w:hAnsi="Liberation Serif"/>
          <w:sz w:val="24"/>
          <w:szCs w:val="24"/>
        </w:rPr>
        <w:t>С применением геоинформационной системы Zulu можно создавать и видеть на топографической карте территории план-схемы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p>
    <w:p>
      <w:pPr>
        <w:pStyle w:val="Heading1"/>
        <w:spacing w:before="160" w:after="160"/>
        <w:rPr>
          <w:rFonts w:ascii="Liberation Serif" w:hAnsi="Liberation Serif"/>
          <w:sz w:val="24"/>
          <w:szCs w:val="24"/>
        </w:rPr>
      </w:pPr>
      <w:bookmarkStart w:id="50" w:name="_Toc194393531"/>
      <w:bookmarkStart w:id="51" w:name="_Toc215581918"/>
      <w:r>
        <w:rPr>
          <w:rFonts w:cs="Times New Roman" w:ascii="Liberation Serif" w:hAnsi="Liberation Serif"/>
          <w:b/>
          <w:color w:val="auto"/>
          <w:sz w:val="24"/>
          <w:szCs w:val="24"/>
        </w:rPr>
        <w:t>15 Порядок организации материально-технического, инженерного и финансового обеспечения операций по локализации и ликвидации аварий на объектах теплоснабжения</w:t>
      </w:r>
      <w:bookmarkEnd w:id="51"/>
    </w:p>
    <w:p>
      <w:pPr>
        <w:pStyle w:val="Normal"/>
        <w:rPr>
          <w:rFonts w:ascii="Liberation Serif" w:hAnsi="Liberation Serif"/>
          <w:sz w:val="24"/>
          <w:szCs w:val="24"/>
        </w:rPr>
      </w:pPr>
      <w:bookmarkStart w:id="52" w:name="_Toc194393531"/>
      <w:r>
        <w:rPr>
          <w:rFonts w:eastAsia="SimSun" w:cs="Times New Roman" w:ascii="Liberation Serif" w:hAnsi="Liberation Serif"/>
          <w:color w:val="000000"/>
          <w:sz w:val="24"/>
          <w:szCs w:val="24"/>
          <w:lang w:eastAsia="ru-RU"/>
        </w:rPr>
        <w:t xml:space="preserve"> </w:t>
      </w:r>
      <w:bookmarkEnd w:id="52"/>
      <w:r>
        <w:rPr>
          <w:rFonts w:eastAsia="SimSun" w:cs="Times New Roman" w:ascii="Liberation Serif" w:hAnsi="Liberation Serif"/>
          <w:color w:val="000000"/>
          <w:sz w:val="24"/>
          <w:szCs w:val="24"/>
          <w:lang w:eastAsia="ru-RU"/>
        </w:rPr>
        <w:t xml:space="preserve">Резерв материальных и финансовых ресурсов создаётся для ликвидации и локализации последствий аварий техногенного и природного характера исходя из прогнозируемых видов и масштабов аварий, чрезвычайных ситуаций, предполагаемого объема работ по их ликвидации и численности привлекаемого личного состава </w:t>
      </w:r>
      <w:bookmarkStart w:id="53" w:name="_Toc193125416"/>
      <w:r>
        <w:rPr>
          <w:rFonts w:eastAsia="SimSun" w:cs="Times New Roman" w:ascii="Liberation Serif" w:hAnsi="Liberation Serif"/>
          <w:color w:val="000000"/>
          <w:sz w:val="24"/>
          <w:szCs w:val="24"/>
          <w:lang w:eastAsia="ru-RU"/>
        </w:rPr>
        <w:t>из нештатных аварийно-спасательных формирований.</w:t>
      </w:r>
      <w:bookmarkEnd w:id="53"/>
    </w:p>
    <w:p>
      <w:pPr>
        <w:pStyle w:val="Normal"/>
        <w:rPr>
          <w:rFonts w:ascii="Liberation Serif" w:hAnsi="Liberation Serif"/>
          <w:sz w:val="24"/>
          <w:szCs w:val="24"/>
        </w:rPr>
      </w:pPr>
      <w:bookmarkStart w:id="54" w:name="_Toc193125417"/>
      <w:r>
        <w:rPr>
          <w:rFonts w:eastAsia="SimSun" w:cs="Times New Roman" w:ascii="Liberation Serif" w:hAnsi="Liberation Serif"/>
          <w:color w:val="000000"/>
          <w:sz w:val="24"/>
          <w:szCs w:val="24"/>
          <w:lang w:eastAsia="ru-RU"/>
        </w:rPr>
        <w:t>Финансирование расходов на проведение непредвиденных работ по локализации и ликвидации последствий аварий на объектах теплоснабжения и пополнение аварийного запаса материальных ресурсов осуществляется в установленном порядке в пределах средств, предусмотренных в бюджете организаций, осуществляющих эксплуатацию объектов теплоснабжения, и в бюджете Тугулымского муниципального округа на очередной финансовый год.</w:t>
      </w:r>
      <w:bookmarkEnd w:id="54"/>
    </w:p>
    <w:p>
      <w:pPr>
        <w:pStyle w:val="Normal"/>
        <w:rPr>
          <w:rFonts w:ascii="Liberation Serif" w:hAnsi="Liberation Serif"/>
          <w:sz w:val="24"/>
          <w:szCs w:val="24"/>
        </w:rPr>
      </w:pPr>
      <w:bookmarkStart w:id="55" w:name="_Toc193125418"/>
      <w:r>
        <w:rPr>
          <w:rFonts w:eastAsia="SimSun" w:cs="Times New Roman" w:ascii="Liberation Serif" w:hAnsi="Liberation Serif"/>
          <w:color w:val="000000"/>
          <w:sz w:val="24"/>
          <w:szCs w:val="24"/>
          <w:lang w:eastAsia="ru-RU"/>
        </w:rPr>
        <w:t>При организации материально-технического, инженерного и финансового обеспечения операций по локализации и ликвидации последствий аварий предприятия, эксплуатирующие объекты теплоснабжения, должны произвести расчет необходимых для этого сил и средств.</w:t>
      </w:r>
      <w:bookmarkEnd w:id="55"/>
    </w:p>
    <w:p>
      <w:pPr>
        <w:pStyle w:val="Normal"/>
        <w:rPr>
          <w:rFonts w:ascii="Liberation Serif" w:hAnsi="Liberation Serif"/>
          <w:sz w:val="24"/>
          <w:szCs w:val="24"/>
        </w:rPr>
      </w:pPr>
      <w:bookmarkStart w:id="56" w:name="_Toc193125419"/>
      <w:r>
        <w:rPr>
          <w:rFonts w:eastAsia="SimSun" w:cs="Times New Roman" w:ascii="Liberation Serif" w:hAnsi="Liberation Serif"/>
          <w:color w:val="000000"/>
          <w:sz w:val="24"/>
          <w:szCs w:val="24"/>
          <w:lang w:eastAsia="ru-RU"/>
        </w:rPr>
        <w:t>При расчете резерва финансовых средств для локализации и ликвидации последствий аварий целесообразно руководствоваться методическими документами по проведению оценки ущерба от аварий.</w:t>
      </w:r>
      <w:bookmarkEnd w:id="56"/>
    </w:p>
    <w:p>
      <w:pPr>
        <w:pStyle w:val="Normal"/>
        <w:rPr>
          <w:rFonts w:ascii="Liberation Serif" w:hAnsi="Liberation Serif"/>
          <w:sz w:val="24"/>
          <w:szCs w:val="24"/>
        </w:rPr>
      </w:pPr>
      <w:bookmarkStart w:id="57" w:name="_Toc193125420"/>
      <w:r>
        <w:rPr>
          <w:rFonts w:eastAsia="SimSun" w:cs="Times New Roman" w:ascii="Liberation Serif" w:hAnsi="Liberation Serif"/>
          <w:color w:val="000000"/>
          <w:sz w:val="24"/>
          <w:szCs w:val="24"/>
          <w:lang w:eastAsia="ru-RU"/>
        </w:rPr>
        <w:t>При расчете ущерба учитываются такие затраты, потери и убытки, выраженные в стоимостной форме, как затраты, направленные на проведение аварийно-спасательных работ, затраты на эвакуацию людей из зоны аварийной ситуации, стоимость ремонтно-восстановительных работ и возмещения вреда здоровью людей, материального ущерба и прочее.</w:t>
      </w:r>
      <w:bookmarkEnd w:id="57"/>
    </w:p>
    <w:p>
      <w:pPr>
        <w:pStyle w:val="Normal"/>
        <w:rPr>
          <w:rFonts w:ascii="Liberation Serif" w:hAnsi="Liberation Serif"/>
          <w:sz w:val="24"/>
          <w:szCs w:val="24"/>
        </w:rPr>
      </w:pPr>
      <w:bookmarkStart w:id="58" w:name="_Toc193125421"/>
      <w:r>
        <w:rPr>
          <w:rFonts w:eastAsia="SimSun" w:cs="Times New Roman" w:ascii="Liberation Serif" w:hAnsi="Liberation Serif"/>
          <w:color w:val="000000"/>
          <w:sz w:val="24"/>
          <w:szCs w:val="24"/>
          <w:lang w:eastAsia="ru-RU"/>
        </w:rPr>
        <w:t>По результатам расчетов рекомендуется составлять соответствующий перечень, в котором отмечаются аварийный запас средств индивидуальной защиты с указанием количества и мест хранения, инструменты, материалы и приспособления, используемые для выполнения аварийно-восстановительных работ, приборы, оборудование и техника для проведения работ, с указанием количества и мест хранения, в том числе мероприятия по содержанию (хранению) данных средств.</w:t>
      </w:r>
      <w:bookmarkEnd w:id="58"/>
    </w:p>
    <w:p>
      <w:pPr>
        <w:pStyle w:val="Normal"/>
        <w:rPr>
          <w:rFonts w:ascii="Liberation Serif" w:hAnsi="Liberation Serif"/>
          <w:sz w:val="24"/>
          <w:szCs w:val="24"/>
        </w:rPr>
      </w:pPr>
      <w:bookmarkStart w:id="59" w:name="_Toc193125422"/>
      <w:r>
        <w:rPr>
          <w:rFonts w:eastAsia="SimSun" w:cs="Times New Roman" w:ascii="Liberation Serif" w:hAnsi="Liberation Serif"/>
          <w:color w:val="000000"/>
          <w:sz w:val="24"/>
          <w:szCs w:val="24"/>
          <w:lang w:eastAsia="ru-RU"/>
        </w:rPr>
        <w:t xml:space="preserve">Материально-технические средства, задействованные в мероприятиях по локализации и ликвидации последствий аварий, используются только </w:t>
        <w:br/>
        <w:t xml:space="preserve">для обеспечения операций по локализации и ликвидации последствий аварий </w:t>
        <w:br/>
        <w:t>на объекте.</w:t>
      </w:r>
      <w:bookmarkEnd w:id="59"/>
    </w:p>
    <w:p>
      <w:pPr>
        <w:pStyle w:val="Normal"/>
        <w:ind w:hanging="0"/>
        <w:rPr>
          <w:rFonts w:ascii="Liberation Serif" w:hAnsi="Liberation Serif"/>
          <w:sz w:val="24"/>
          <w:szCs w:val="24"/>
        </w:rPr>
      </w:pPr>
      <w:r>
        <w:rPr>
          <w:rFonts w:cs="Times New Roman" w:ascii="Liberation Serif" w:hAnsi="Liberation Serif"/>
          <w:i/>
          <w:iCs/>
          <w:sz w:val="24"/>
          <w:szCs w:val="24"/>
        </w:rPr>
        <w:t xml:space="preserve">Таблица 12 - </w:t>
      </w:r>
    </w:p>
    <w:tbl>
      <w:tblPr>
        <w:tblStyle w:val="a9"/>
        <w:tblW w:w="10065" w:type="dxa"/>
        <w:jc w:val="start"/>
        <w:tblInd w:w="-5" w:type="dxa"/>
        <w:tblLayout w:type="fixed"/>
        <w:tblCellMar>
          <w:top w:w="0" w:type="dxa"/>
          <w:start w:w="108" w:type="dxa"/>
          <w:bottom w:w="0" w:type="dxa"/>
          <w:end w:w="108" w:type="dxa"/>
        </w:tblCellMar>
        <w:tblLook w:val="04a0" w:noHBand="0" w:noVBand="1" w:firstColumn="1" w:lastRow="0" w:lastColumn="0" w:firstRow="1"/>
      </w:tblPr>
      <w:tblGrid>
        <w:gridCol w:w="556"/>
        <w:gridCol w:w="3271"/>
        <w:gridCol w:w="1701"/>
        <w:gridCol w:w="1843"/>
        <w:gridCol w:w="2694"/>
      </w:tblGrid>
      <w:tr>
        <w:trPr/>
        <w:tc>
          <w:tcPr>
            <w:tcW w:w="556"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w:t>
            </w:r>
          </w:p>
        </w:tc>
        <w:tc>
          <w:tcPr>
            <w:tcW w:w="327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организации</w:t>
            </w:r>
          </w:p>
        </w:tc>
        <w:tc>
          <w:tcPr>
            <w:tcW w:w="170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Объем резерва финансовых ресурсов</w:t>
            </w:r>
          </w:p>
        </w:tc>
        <w:tc>
          <w:tcPr>
            <w:tcW w:w="1843"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Наименование нормативного акта (внутреннего локального документа)</w:t>
            </w:r>
          </w:p>
        </w:tc>
        <w:tc>
          <w:tcPr>
            <w:tcW w:w="2694"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Примечание</w:t>
            </w:r>
          </w:p>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(указать координаты ответственного лица за проведение финансовых операций)</w:t>
            </w:r>
          </w:p>
        </w:tc>
      </w:tr>
      <w:tr>
        <w:trPr/>
        <w:tc>
          <w:tcPr>
            <w:tcW w:w="556"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w:t>
            </w:r>
          </w:p>
        </w:tc>
        <w:tc>
          <w:tcPr>
            <w:tcW w:w="327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Администрация Тугулымского муниципального округа</w:t>
            </w:r>
          </w:p>
        </w:tc>
        <w:tc>
          <w:tcPr>
            <w:tcW w:w="170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1000,00 тыс.руб.</w:t>
            </w:r>
          </w:p>
        </w:tc>
        <w:tc>
          <w:tcPr>
            <w:tcW w:w="1843"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Постановление от 05.12.2025 №809 «Об утверждениии Порядка использования бюджетных ассигнований резервного фонда АТМО</w:t>
            </w:r>
          </w:p>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Постановление 31.01.2025 №74 «Об утверждении порядка использования бюджетных асигнований резервного фонда АТМО для ликвидации ЧС природного и техногенного характера» </w:t>
            </w:r>
          </w:p>
          <w:p>
            <w:pPr>
              <w:pStyle w:val="Normal"/>
              <w:widowControl/>
              <w:spacing w:before="0" w:after="0"/>
              <w:ind w:hanging="0" w:start="-73"/>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c>
          <w:tcPr>
            <w:tcW w:w="2694"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Торопова Наталья Александровна</w:t>
            </w:r>
          </w:p>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8(343)228-60-25</w:t>
            </w:r>
          </w:p>
        </w:tc>
      </w:tr>
      <w:tr>
        <w:trPr/>
        <w:tc>
          <w:tcPr>
            <w:tcW w:w="556"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2</w:t>
            </w:r>
          </w:p>
        </w:tc>
        <w:tc>
          <w:tcPr>
            <w:tcW w:w="327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МУП «УЖКХ и АТ ТМО»</w:t>
            </w:r>
          </w:p>
        </w:tc>
        <w:tc>
          <w:tcPr>
            <w:tcW w:w="170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4 137,53 тыс.руб</w:t>
            </w:r>
          </w:p>
        </w:tc>
        <w:tc>
          <w:tcPr>
            <w:tcW w:w="1843" w:type="dxa"/>
            <w:tcBorders/>
            <w:vAlign w:val="center"/>
          </w:tcPr>
          <w:p>
            <w:pPr>
              <w:pStyle w:val="Normal"/>
              <w:widowControl/>
              <w:spacing w:before="0" w:after="0"/>
              <w:ind w:hanging="0"/>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Приказ от 30.12.2025 № 563 «О создании неснижаемого запаса ТМЦ на случай ликвидации последствий аварий»</w:t>
            </w:r>
          </w:p>
        </w:tc>
        <w:tc>
          <w:tcPr>
            <w:tcW w:w="2694"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Хандорин Андрей Николаевич</w:t>
            </w:r>
          </w:p>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333333"/>
                <w:kern w:val="0"/>
                <w:sz w:val="24"/>
                <w:szCs w:val="24"/>
                <w:shd w:fill="FFFFFF" w:val="clear"/>
                <w:lang w:val="ru-RU" w:eastAsia="en-US" w:bidi="ar-SA"/>
              </w:rPr>
              <w:t>7 343 672-52-57, +7 343 227-10-60, +7 343 672-52-27</w:t>
            </w:r>
          </w:p>
          <w:p>
            <w:pPr>
              <w:pStyle w:val="Normal"/>
              <w:widowControl/>
              <w:spacing w:before="0" w:after="0"/>
              <w:ind w:hanging="0" w:start="-73"/>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56"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3</w:t>
            </w:r>
          </w:p>
        </w:tc>
        <w:tc>
          <w:tcPr>
            <w:tcW w:w="327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АО «ОТСК»</w:t>
            </w:r>
          </w:p>
        </w:tc>
        <w:tc>
          <w:tcPr>
            <w:tcW w:w="170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1150,00</w:t>
            </w:r>
          </w:p>
        </w:tc>
        <w:tc>
          <w:tcPr>
            <w:tcW w:w="1843"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Перечень запаса ТМЦ на случай ликвидации последствии аварий на ТС </w:t>
            </w:r>
          </w:p>
        </w:tc>
        <w:tc>
          <w:tcPr>
            <w:tcW w:w="2694"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 xml:space="preserve">Куроптев Александр Владимирович  </w:t>
            </w:r>
          </w:p>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333333"/>
                <w:kern w:val="0"/>
                <w:sz w:val="24"/>
                <w:szCs w:val="24"/>
                <w:shd w:fill="FFFFFF" w:val="clear"/>
                <w:lang w:val="ru-RU" w:eastAsia="en-US" w:bidi="ar-SA"/>
              </w:rPr>
              <w:t>7 (34367) 2-24-45</w:t>
            </w:r>
          </w:p>
          <w:p>
            <w:pPr>
              <w:pStyle w:val="Normal"/>
              <w:widowControl/>
              <w:spacing w:before="0" w:after="0"/>
              <w:ind w:hanging="0" w:start="-73"/>
              <w:jc w:val="center"/>
              <w:rPr>
                <w:rFonts w:ascii="Liberation Serif" w:hAnsi="Liberation Serif" w:eastAsia="Calibri" w:cs="Times New Roman"/>
                <w:kern w:val="0"/>
                <w:sz w:val="24"/>
                <w:szCs w:val="24"/>
                <w:lang w:val="ru-RU" w:eastAsia="en-US" w:bidi="ar-SA"/>
              </w:rPr>
            </w:pPr>
            <w:r>
              <w:rPr>
                <w:rFonts w:eastAsia="Calibri" w:cs="Times New Roman" w:ascii="Liberation Serif" w:hAnsi="Liberation Serif"/>
                <w:kern w:val="0"/>
                <w:sz w:val="24"/>
                <w:szCs w:val="24"/>
                <w:lang w:val="ru-RU" w:eastAsia="en-US" w:bidi="ar-SA"/>
              </w:rPr>
            </w:r>
          </w:p>
        </w:tc>
      </w:tr>
      <w:tr>
        <w:trPr/>
        <w:tc>
          <w:tcPr>
            <w:tcW w:w="556"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4.</w:t>
            </w:r>
          </w:p>
        </w:tc>
        <w:tc>
          <w:tcPr>
            <w:tcW w:w="327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ООО «ЮТЭК»</w:t>
            </w:r>
          </w:p>
        </w:tc>
        <w:tc>
          <w:tcPr>
            <w:tcW w:w="1701"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100 тыс.руб</w:t>
            </w:r>
          </w:p>
        </w:tc>
        <w:tc>
          <w:tcPr>
            <w:tcW w:w="1843"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Приказ №28 от 12.01.2025 «О создании резервного фонда на ликвидацию последствии аварий»</w:t>
            </w:r>
          </w:p>
        </w:tc>
        <w:tc>
          <w:tcPr>
            <w:tcW w:w="2694" w:type="dxa"/>
            <w:tcBorders/>
            <w:vAlign w:val="center"/>
          </w:tcPr>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Бузырев Владимир Александрович</w:t>
            </w:r>
          </w:p>
          <w:p>
            <w:pPr>
              <w:pStyle w:val="Normal"/>
              <w:widowControl/>
              <w:spacing w:before="0" w:after="0"/>
              <w:ind w:hanging="0" w:start="-73"/>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kern w:val="0"/>
                <w:sz w:val="24"/>
                <w:szCs w:val="24"/>
                <w:lang w:val="ru-RU" w:eastAsia="en-US" w:bidi="ar-SA"/>
              </w:rPr>
              <w:t>Т.8(34367)4-10-28</w:t>
            </w:r>
          </w:p>
        </w:tc>
      </w:tr>
    </w:tbl>
    <w:p>
      <w:pPr>
        <w:pStyle w:val="Normal"/>
        <w:rPr>
          <w:rFonts w:ascii="Liberation Serif" w:hAnsi="Liberation Serif" w:cs="Times New Roman"/>
          <w:sz w:val="24"/>
          <w:szCs w:val="24"/>
          <w:lang w:eastAsia="ar-SA"/>
        </w:rPr>
      </w:pPr>
      <w:r>
        <w:rPr>
          <w:rFonts w:cs="Times New Roman" w:ascii="Liberation Serif" w:hAnsi="Liberation Serif"/>
          <w:sz w:val="24"/>
          <w:szCs w:val="24"/>
          <w:lang w:eastAsia="ar-SA"/>
        </w:rPr>
      </w:r>
    </w:p>
    <w:p>
      <w:pPr>
        <w:pStyle w:val="Normal"/>
        <w:rPr>
          <w:rFonts w:ascii="Liberation Serif" w:hAnsi="Liberation Serif"/>
          <w:sz w:val="24"/>
          <w:szCs w:val="24"/>
        </w:rPr>
      </w:pPr>
      <w:r>
        <w:rPr>
          <w:rFonts w:cs="Times New Roman" w:ascii="Liberation Serif" w:hAnsi="Liberation Serif"/>
          <w:sz w:val="24"/>
          <w:szCs w:val="24"/>
          <w:lang w:eastAsia="ar-SA"/>
        </w:rPr>
        <w:t>Объёмы резервов финансовых ресурсов (резервных фондов) определяются ежегодно и утверждаются нормативным правовым актом и должны обеспечивать проведение аварийно-восстановительных работ в нормативные сроки.</w:t>
      </w:r>
    </w:p>
    <w:p>
      <w:pPr>
        <w:pStyle w:val="Heading1"/>
        <w:spacing w:before="160" w:after="160"/>
        <w:rPr>
          <w:rFonts w:ascii="Liberation Serif" w:hAnsi="Liberation Serif"/>
          <w:sz w:val="24"/>
          <w:szCs w:val="24"/>
        </w:rPr>
      </w:pPr>
      <w:bookmarkStart w:id="60" w:name="_Toc215581919"/>
      <w:bookmarkStart w:id="61" w:name="_Toc194393532"/>
      <w:r>
        <w:rPr>
          <w:rFonts w:cs="Times New Roman" w:ascii="Liberation Serif" w:hAnsi="Liberation Serif"/>
          <w:b/>
          <w:color w:val="auto"/>
          <w:sz w:val="24"/>
          <w:szCs w:val="24"/>
        </w:rPr>
        <w:t>16 Заключительные положения</w:t>
      </w:r>
      <w:bookmarkEnd w:id="60"/>
      <w:bookmarkEnd w:id="61"/>
    </w:p>
    <w:p>
      <w:pPr>
        <w:pStyle w:val="Normal"/>
        <w:rPr>
          <w:rFonts w:ascii="Liberation Serif" w:hAnsi="Liberation Serif"/>
          <w:sz w:val="24"/>
          <w:szCs w:val="24"/>
        </w:rPr>
      </w:pPr>
      <w:r>
        <w:rPr>
          <w:rFonts w:cs="Times New Roman" w:ascii="Liberation Serif" w:hAnsi="Liberation Serif"/>
          <w:sz w:val="24"/>
          <w:szCs w:val="24"/>
        </w:rPr>
        <w:t>16.1 Взаимоотношения теплоснабжающих и теплосетевых организаций с потребителями тепловой энергии определяются заключёнными между ними договорами и действующим законодательством в сфере предоставления коммунальных услуг. Ответственность теплоснабжающих, теплосетевых организаций, потребителей тепловой энергии определяются актами разграничения балансовой принадлежности инженерных сетей и эксплуатационной ответственности сторон к договору теплоснабжения.</w:t>
      </w:r>
    </w:p>
    <w:p>
      <w:pPr>
        <w:pStyle w:val="Style18"/>
        <w:spacing w:lineRule="auto" w:line="360"/>
        <w:rPr>
          <w:rFonts w:ascii="Liberation Serif" w:hAnsi="Liberation Serif"/>
          <w:sz w:val="24"/>
          <w:szCs w:val="24"/>
        </w:rPr>
      </w:pPr>
      <w:r>
        <w:rPr>
          <w:rFonts w:ascii="Liberation Serif" w:hAnsi="Liberation Serif"/>
          <w:sz w:val="24"/>
          <w:szCs w:val="24"/>
        </w:rPr>
        <w:t>16.2 Порядок (</w:t>
      </w:r>
      <w:r>
        <w:rPr>
          <w:rFonts w:eastAsia="Calibri" w:ascii="Liberation Serif" w:hAnsi="Liberation Serif" w:eastAsiaTheme="minorHAnsi"/>
          <w:color w:val="auto"/>
          <w:sz w:val="24"/>
          <w:szCs w:val="24"/>
          <w:lang w:eastAsia="en-US"/>
        </w:rPr>
        <w:t>план) действий определяет порядок действий персонала объекта при ликвидации последствий аварийных ситуаций и является обязательным для исполнения всеми ответственными лицами, указанными в нем.</w:t>
      </w:r>
    </w:p>
    <w:p>
      <w:pPr>
        <w:pStyle w:val="Style18"/>
        <w:spacing w:lineRule="auto" w:line="360"/>
        <w:rPr>
          <w:rFonts w:ascii="Liberation Serif" w:hAnsi="Liberation Serif"/>
          <w:sz w:val="24"/>
          <w:szCs w:val="24"/>
        </w:rPr>
      </w:pPr>
      <w:r>
        <w:rPr>
          <w:rFonts w:ascii="Liberation Serif" w:hAnsi="Liberation Serif"/>
          <w:sz w:val="24"/>
          <w:szCs w:val="24"/>
        </w:rPr>
        <w:t>16.3 План действий должен находиться у Главы муниципального образования, заместителя руководителя муниципального образования, отвечающего за функционирование объектов жилищно-коммунального хозяйства, в отделе администрации муниципального образования, обеспечивающего функционирование объектов жилищно-коммунального хозяйства, у руководителя, главного инженера, производственно-техническом отделе и аварийно- диспетчерской службе теплоснабжающих (теплосетевых) организаций, осуществляющих деятельность на территории муниципального образования.</w:t>
      </w:r>
    </w:p>
    <w:p>
      <w:pPr>
        <w:pStyle w:val="Style18"/>
        <w:spacing w:lineRule="auto" w:line="360"/>
        <w:rPr>
          <w:rFonts w:ascii="Liberation Serif" w:hAnsi="Liberation Serif"/>
          <w:sz w:val="24"/>
          <w:szCs w:val="24"/>
        </w:rPr>
      </w:pPr>
      <w:r>
        <w:rPr>
          <w:rFonts w:ascii="Liberation Serif" w:hAnsi="Liberation Serif"/>
          <w:sz w:val="24"/>
          <w:szCs w:val="24"/>
        </w:rPr>
        <w:t>16.4 Актуальность положений Плана действий и соответствие его действительному положению в системе теплоснабжения муниципального образования проверяется не реже одного раза в год. При этом проводится учебная проверка по одной из позиций плана и выполнение предусмотренных в нём мероприятий. Ответственность за своевременное и правильное проведение учебных проверок Плана действий несут заместитель руководителя муниципального образования, отвечающий за функционирование объектов жилищно-коммунального хозяйства и руководители теплоснабжающих (теплосетевых) организаций.</w:t>
      </w:r>
    </w:p>
    <w:p>
      <w:pPr>
        <w:pStyle w:val="Style18"/>
        <w:spacing w:lineRule="auto" w:line="360"/>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16.5    ПЛАС МО подлежит утверждению и ежегодной актуализации до 15 февраля.</w:t>
      </w:r>
    </w:p>
    <w:p>
      <w:pPr>
        <w:pStyle w:val="Style18"/>
        <w:spacing w:lineRule="auto" w:line="360"/>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16.6 ПЛАС МО подлежит согласованию с органами государственной власти субъекта Российской Федерации, осуществляющими полномочия по государственному регулированию и контролю в сфере теплоснабжения, органами исполнительной власти субъекта Российской Федерации в сфере водоснабжения и водоотведения, органами исполнительной власти субъекта Российской Федерации в области газоснабжения, органами исполнительной власти субъекта Российской Федерации, осуществляющими полномочия по государственному регулированию и контролю в электроэнергетике, и органом государственной власти субъекта Российской Федерации, осуществляющим полномочия в области защиты населения и территорий от чрезвычайных ситуаций.</w:t>
      </w:r>
    </w:p>
    <w:p>
      <w:pPr>
        <w:pStyle w:val="Style18"/>
        <w:spacing w:lineRule="auto" w:line="360"/>
        <w:rPr>
          <w:rFonts w:ascii="Liberation Serif" w:hAnsi="Liberation Serif"/>
          <w:sz w:val="24"/>
          <w:szCs w:val="24"/>
        </w:rPr>
      </w:pPr>
      <w:r>
        <w:rPr>
          <w:rFonts w:ascii="Liberation Serif" w:hAnsi="Liberation Serif"/>
          <w:sz w:val="24"/>
          <w:szCs w:val="24"/>
        </w:rPr>
        <w:t xml:space="preserve">16.7 ПЛАС МО разработан с </w:t>
      </w:r>
      <w:r>
        <w:rPr>
          <w:rFonts w:ascii="Liberation Serif" w:hAnsi="Liberation Serif"/>
          <w:b/>
          <w:sz w:val="24"/>
          <w:szCs w:val="24"/>
        </w:rPr>
        <w:t>учетом</w:t>
      </w:r>
      <w:r>
        <w:rPr>
          <w:rFonts w:ascii="Liberation Serif" w:hAnsi="Liberation Serif"/>
          <w:sz w:val="24"/>
          <w:szCs w:val="24"/>
        </w:rPr>
        <w:t xml:space="preserve"> порядков (планов) действий по ликвидации последствий аварийных ситуаций в сфере теплоснабжения теплоснабжающих организаций, теплосетевых организаций, владельцев тепловых сетей, не являющихся теплосетевыми организациями, организаций в сфере электро-, газо- и водоснабжения, организаций, осуществляющих снабжение топливом, потребителей тепловой энергии, ремонтно-строительных и транспортных организаций. Указанные порядки (планы) могут быть приобщены к данному порядку (плану) в виде приложения.</w:t>
      </w:r>
    </w:p>
    <w:p>
      <w:pPr>
        <w:pStyle w:val="Normal"/>
        <w:spacing w:lineRule="auto" w:line="259" w:before="0" w:after="160"/>
        <w:ind w:hanging="0"/>
        <w:jc w:val="start"/>
        <w:rPr>
          <w:rFonts w:ascii="Liberation Serif" w:hAnsi="Liberation Serif" w:eastAsia="SimSun" w:cs="Times New Roman"/>
          <w:color w:val="000000"/>
          <w:sz w:val="24"/>
          <w:szCs w:val="24"/>
          <w:lang w:eastAsia="ru-RU"/>
        </w:rPr>
      </w:pPr>
      <w:r>
        <w:rPr>
          <w:rFonts w:eastAsia="SimSun" w:cs="Times New Roman" w:ascii="Liberation Serif" w:hAnsi="Liberation Serif"/>
          <w:color w:val="000000"/>
          <w:sz w:val="24"/>
          <w:szCs w:val="24"/>
          <w:lang w:eastAsia="ru-RU"/>
        </w:rPr>
      </w:r>
      <w:r>
        <w:br w:type="page"/>
      </w:r>
    </w:p>
    <w:p>
      <w:pPr>
        <w:pStyle w:val="Heading1"/>
        <w:spacing w:before="0" w:after="0"/>
        <w:jc w:val="start"/>
        <w:rPr>
          <w:rFonts w:ascii="Liberation Serif" w:hAnsi="Liberation Serif"/>
          <w:sz w:val="24"/>
          <w:szCs w:val="24"/>
        </w:rPr>
      </w:pPr>
      <w:bookmarkStart w:id="62" w:name="_Toc215581920"/>
      <w:bookmarkStart w:id="63" w:name="_Toc194393533"/>
      <w:r>
        <w:rPr>
          <w:rFonts w:cs="Times New Roman" w:ascii="Liberation Serif" w:hAnsi="Liberation Serif"/>
          <w:b/>
          <w:color w:val="auto"/>
          <w:sz w:val="24"/>
          <w:szCs w:val="24"/>
        </w:rPr>
        <w:t>Приложени</w:t>
      </w:r>
      <w:bookmarkEnd w:id="62"/>
      <w:bookmarkEnd w:id="63"/>
      <w:r>
        <w:rPr>
          <w:rFonts w:cs="Times New Roman" w:ascii="Liberation Serif" w:hAnsi="Liberation Serif"/>
          <w:b/>
          <w:color w:val="auto"/>
          <w:sz w:val="24"/>
          <w:szCs w:val="24"/>
        </w:rPr>
        <w:t>я</w:t>
      </w:r>
    </w:p>
    <w:p>
      <w:pPr>
        <w:pStyle w:val="Normal"/>
        <w:rPr>
          <w:rFonts w:ascii="Liberation Serif" w:hAnsi="Liberation Serif"/>
          <w:sz w:val="24"/>
          <w:szCs w:val="24"/>
        </w:rPr>
      </w:pPr>
      <w:r>
        <w:rPr>
          <w:rFonts w:cs="Times New Roman" w:ascii="Liberation Serif" w:hAnsi="Liberation Serif"/>
          <w:sz w:val="24"/>
          <w:szCs w:val="24"/>
        </w:rPr>
        <w:t xml:space="preserve">                                                                                                         </w:t>
      </w:r>
      <w:r>
        <w:rPr>
          <w:rFonts w:cs="Times New Roman" w:ascii="Liberation Serif" w:hAnsi="Liberation Serif"/>
          <w:sz w:val="24"/>
          <w:szCs w:val="24"/>
        </w:rPr>
        <w:t xml:space="preserve">Приложение 1 </w:t>
      </w:r>
    </w:p>
    <w:p>
      <w:pPr>
        <w:pStyle w:val="Normal"/>
        <w:rPr>
          <w:rFonts w:ascii="Liberation Serif" w:hAnsi="Liberation Serif"/>
          <w:sz w:val="24"/>
          <w:szCs w:val="24"/>
        </w:rPr>
      </w:pPr>
      <w:r>
        <w:rPr>
          <w:rFonts w:cs="Times New Roman" w:ascii="Liberation Serif" w:hAnsi="Liberation Serif"/>
          <w:sz w:val="24"/>
          <w:szCs w:val="24"/>
        </w:rPr>
        <w:t>Перечень контактных телефонов оперативных и специальных служб</w:t>
      </w:r>
    </w:p>
    <w:tbl>
      <w:tblPr>
        <w:tblStyle w:val="a9"/>
        <w:tblW w:w="10085"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846"/>
        <w:gridCol w:w="4819"/>
        <w:gridCol w:w="4420"/>
      </w:tblGrid>
      <w:tr>
        <w:trPr/>
        <w:tc>
          <w:tcPr>
            <w:tcW w:w="846"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 xml:space="preserve">№ </w:t>
            </w:r>
            <w:r>
              <w:rPr>
                <w:rFonts w:eastAsia="Calibri" w:cs="Times New Roman" w:ascii="Liberation Serif" w:hAnsi="Liberation Serif"/>
                <w:color w:val="000000"/>
                <w:kern w:val="0"/>
                <w:sz w:val="24"/>
                <w:szCs w:val="24"/>
                <w:lang w:val="ru-RU" w:eastAsia="en-US" w:bidi="ar-SA"/>
              </w:rPr>
              <w:t>п/п</w:t>
            </w:r>
          </w:p>
        </w:tc>
        <w:tc>
          <w:tcPr>
            <w:tcW w:w="4819"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Наименование службы</w:t>
            </w:r>
          </w:p>
        </w:tc>
        <w:tc>
          <w:tcPr>
            <w:tcW w:w="4420"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Контактный телефон</w:t>
            </w:r>
          </w:p>
        </w:tc>
      </w:tr>
      <w:tr>
        <w:trPr/>
        <w:tc>
          <w:tcPr>
            <w:tcW w:w="846"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1</w:t>
            </w:r>
          </w:p>
        </w:tc>
        <w:tc>
          <w:tcPr>
            <w:tcW w:w="4819"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МЧС</w:t>
            </w:r>
          </w:p>
        </w:tc>
        <w:tc>
          <w:tcPr>
            <w:tcW w:w="4420"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 xml:space="preserve">101 </w:t>
            </w:r>
            <w:r>
              <w:rPr>
                <w:rFonts w:eastAsia="Calibri" w:cs="Arial" w:ascii="Liberation Serif" w:hAnsi="Liberation Serif"/>
                <w:color w:val="000000"/>
                <w:kern w:val="0"/>
                <w:sz w:val="24"/>
                <w:szCs w:val="24"/>
                <w:shd w:fill="FFFFFF" w:val="clear"/>
                <w:lang w:val="ru-RU" w:eastAsia="en-US" w:bidi="ar-SA"/>
              </w:rPr>
              <w:t>+7 (34371) 2-45-20</w:t>
            </w:r>
          </w:p>
        </w:tc>
      </w:tr>
      <w:tr>
        <w:trPr/>
        <w:tc>
          <w:tcPr>
            <w:tcW w:w="846"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2</w:t>
            </w:r>
          </w:p>
        </w:tc>
        <w:tc>
          <w:tcPr>
            <w:tcW w:w="4819"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МВД</w:t>
            </w:r>
          </w:p>
        </w:tc>
        <w:tc>
          <w:tcPr>
            <w:tcW w:w="4420"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Arial" w:ascii="Liberation Serif" w:hAnsi="Liberation Serif"/>
                <w:color w:val="333333"/>
                <w:kern w:val="0"/>
                <w:sz w:val="24"/>
                <w:szCs w:val="24"/>
                <w:shd w:fill="FFFFFF" w:val="clear"/>
                <w:lang w:val="ru-RU" w:eastAsia="en-US" w:bidi="ar-SA"/>
              </w:rPr>
              <w:t>8 (34367) 2-25-49</w:t>
            </w:r>
          </w:p>
        </w:tc>
      </w:tr>
      <w:tr>
        <w:trPr/>
        <w:tc>
          <w:tcPr>
            <w:tcW w:w="846"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3</w:t>
            </w:r>
          </w:p>
        </w:tc>
        <w:tc>
          <w:tcPr>
            <w:tcW w:w="4819"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Учреждение здравоохранения</w:t>
            </w:r>
          </w:p>
        </w:tc>
        <w:tc>
          <w:tcPr>
            <w:tcW w:w="4420" w:type="dxa"/>
            <w:tcBorders/>
            <w:shd w:color="auto" w:fill="FFFFFF" w:themeFill="background1" w:val="clear"/>
            <w:vAlign w:val="center"/>
          </w:tcPr>
          <w:p>
            <w:pPr>
              <w:pStyle w:val="Normal"/>
              <w:widowControl/>
              <w:spacing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8 (34367) 22-4-75;</w:t>
            </w:r>
          </w:p>
          <w:p>
            <w:pPr>
              <w:pStyle w:val="Normal"/>
              <w:widowControl/>
              <w:spacing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 xml:space="preserve"> </w:t>
            </w:r>
            <w:r>
              <w:rPr>
                <w:rFonts w:eastAsia="Calibri" w:cs="" w:ascii="Liberation Serif" w:hAnsi="Liberation Serif"/>
                <w:kern w:val="0"/>
                <w:sz w:val="24"/>
                <w:szCs w:val="24"/>
                <w:lang w:val="ru-RU" w:eastAsia="en-US" w:bidi="ar-SA"/>
              </w:rPr>
              <w:t>+79222944883; 03; 112</w:t>
            </w:r>
          </w:p>
        </w:tc>
      </w:tr>
      <w:tr>
        <w:trPr/>
        <w:tc>
          <w:tcPr>
            <w:tcW w:w="846"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4</w:t>
            </w:r>
          </w:p>
        </w:tc>
        <w:tc>
          <w:tcPr>
            <w:tcW w:w="4819" w:type="dxa"/>
            <w:tcBorders/>
            <w:vAlign w:val="center"/>
          </w:tcPr>
          <w:p>
            <w:pPr>
              <w:pStyle w:val="Normal"/>
              <w:widowControl/>
              <w:spacing w:lineRule="auto" w:line="259" w:before="0" w:after="160"/>
              <w:ind w:hanging="0"/>
              <w:jc w:val="center"/>
              <w:rPr>
                <w:rFonts w:ascii="Liberation Serif" w:hAnsi="Liberation Serif" w:eastAsia="Calibri" w:cs=""/>
                <w:kern w:val="0"/>
                <w:sz w:val="24"/>
                <w:szCs w:val="24"/>
                <w:lang w:val="ru-RU" w:eastAsia="en-US" w:bidi="ar-SA"/>
              </w:rPr>
            </w:pPr>
            <w:r>
              <w:rPr>
                <w:rFonts w:eastAsia="Calibri" w:cs="Times New Roman" w:ascii="Liberation Serif" w:hAnsi="Liberation Serif"/>
                <w:color w:val="000000"/>
                <w:kern w:val="0"/>
                <w:sz w:val="24"/>
                <w:szCs w:val="24"/>
                <w:lang w:val="ru-RU" w:eastAsia="en-US" w:bidi="ar-SA"/>
              </w:rPr>
              <w:t>ЕДДС</w:t>
            </w:r>
          </w:p>
        </w:tc>
        <w:tc>
          <w:tcPr>
            <w:tcW w:w="4420" w:type="dxa"/>
            <w:tcBorders/>
            <w:shd w:color="auto" w:fill="FFFFFF" w:themeFill="background1" w:val="clear"/>
            <w:vAlign w:val="center"/>
          </w:tcPr>
          <w:p>
            <w:pPr>
              <w:pStyle w:val="Normal"/>
              <w:widowControl/>
              <w:spacing w:before="0" w:after="0"/>
              <w:rPr>
                <w:rFonts w:ascii="Liberation Serif" w:hAnsi="Liberation Serif" w:eastAsia="Calibri" w:cs=""/>
                <w:kern w:val="0"/>
                <w:sz w:val="24"/>
                <w:szCs w:val="24"/>
                <w:lang w:val="ru-RU" w:eastAsia="en-US" w:bidi="ar-SA"/>
              </w:rPr>
            </w:pPr>
            <w:r>
              <w:rPr>
                <w:rFonts w:eastAsia="Calibri" w:cs="" w:ascii="Liberation Serif" w:hAnsi="Liberation Serif"/>
                <w:kern w:val="0"/>
                <w:sz w:val="24"/>
                <w:szCs w:val="24"/>
                <w:lang w:val="ru-RU" w:eastAsia="en-US" w:bidi="ar-SA"/>
              </w:rPr>
              <w:t>(343) 228-60-73 (доб.60)</w:t>
            </w:r>
          </w:p>
        </w:tc>
      </w:tr>
    </w:tbl>
    <w:p>
      <w:pPr>
        <w:pStyle w:val="Normal"/>
        <w:spacing w:lineRule="auto" w:line="259" w:before="0" w:after="160"/>
        <w:ind w:hanging="0"/>
        <w:jc w:val="start"/>
        <w:rPr>
          <w:rFonts w:ascii="Liberation Serif" w:hAnsi="Liberation Serif" w:cs="Times New Roman"/>
          <w:sz w:val="24"/>
          <w:szCs w:val="24"/>
          <w:highlight w:val="yellow"/>
        </w:rPr>
      </w:pPr>
      <w:r>
        <w:rPr>
          <w:rFonts w:cs="Times New Roman" w:ascii="Liberation Serif" w:hAnsi="Liberation Serif"/>
          <w:sz w:val="24"/>
          <w:szCs w:val="24"/>
          <w:highlight w:val="yellow"/>
        </w:rPr>
      </w:r>
      <w:r>
        <w:br w:type="page"/>
      </w:r>
    </w:p>
    <w:p>
      <w:pPr>
        <w:pStyle w:val="Normal"/>
        <w:spacing w:before="0" w:after="0"/>
        <w:rPr>
          <w:rFonts w:ascii="Liberation Serif" w:hAnsi="Liberation Serif"/>
          <w:sz w:val="24"/>
          <w:szCs w:val="24"/>
        </w:rPr>
      </w:pPr>
      <w:r>
        <w:rPr>
          <w:rFonts w:cs="Times New Roman" w:ascii="Liberation Serif" w:hAnsi="Liberation Serif"/>
          <w:sz w:val="24"/>
          <w:szCs w:val="24"/>
          <w:lang w:val="en-US"/>
        </w:rPr>
        <w:t xml:space="preserve">                                                                                                        </w:t>
      </w:r>
      <w:r>
        <w:rPr>
          <w:rFonts w:cs="Times New Roman" w:ascii="Liberation Serif" w:hAnsi="Liberation Serif"/>
          <w:sz w:val="24"/>
          <w:szCs w:val="24"/>
        </w:rPr>
        <w:t xml:space="preserve">Приложение 2 </w:t>
      </w:r>
    </w:p>
    <w:p>
      <w:pPr>
        <w:pStyle w:val="Normal"/>
        <w:tabs>
          <w:tab w:val="clear" w:pos="708"/>
          <w:tab w:val="left" w:pos="7890" w:leader="none"/>
        </w:tabs>
        <w:ind w:firstLine="709" w:end="29"/>
        <w:jc w:val="center"/>
        <w:rPr>
          <w:rFonts w:ascii="Liberation Serif" w:hAnsi="Liberation Serif"/>
          <w:sz w:val="24"/>
          <w:szCs w:val="24"/>
        </w:rPr>
      </w:pPr>
      <w:r>
        <w:rPr>
          <w:rFonts w:cs="Times New Roman" w:ascii="Liberation Serif" w:hAnsi="Liberation Serif"/>
          <w:b/>
          <w:sz w:val="24"/>
          <w:szCs w:val="24"/>
        </w:rPr>
        <w:t>Инструкция для моделирования</w:t>
      </w:r>
      <w:r>
        <w:rPr>
          <w:rFonts w:cs="Times New Roman" w:ascii="Liberation Serif" w:hAnsi="Liberation Serif"/>
          <w:sz w:val="24"/>
          <w:szCs w:val="24"/>
        </w:rPr>
        <w:t xml:space="preserve"> </w:t>
      </w:r>
      <w:r>
        <w:rPr>
          <w:rFonts w:cs="Times New Roman" w:ascii="Liberation Serif" w:hAnsi="Liberation Serif"/>
          <w:b/>
          <w:sz w:val="24"/>
          <w:szCs w:val="24"/>
        </w:rPr>
        <w:t>сценариев развития аварий в системе теплоснабжения с моделированием гидравлических режимов (рекомендуемая)</w:t>
      </w:r>
    </w:p>
    <w:p>
      <w:pPr>
        <w:pStyle w:val="Normal"/>
        <w:tabs>
          <w:tab w:val="clear" w:pos="708"/>
          <w:tab w:val="left" w:pos="567" w:leader="none"/>
        </w:tabs>
        <w:ind w:firstLine="709" w:end="29"/>
        <w:rPr>
          <w:rFonts w:ascii="Liberation Serif" w:hAnsi="Liberation Serif"/>
          <w:sz w:val="24"/>
          <w:szCs w:val="24"/>
        </w:rPr>
      </w:pPr>
      <w:r>
        <w:rPr>
          <w:rFonts w:ascii="Liberation Serif" w:hAnsi="Liberation Serif"/>
          <w:sz w:val="24"/>
          <w:szCs w:val="24"/>
        </w:rPr>
        <w:t>Настоящая инструкция разработана в целях исполнения   поручения Губернатора Свердловской области от 04.03.2022, во исполнение поручения Заместителя Председателя Правительства Российской Федерации А.Н. Новака от 28.02.2022 № № АН-П51-2998. «Обеспечить включение в обязательном порядке в схемы теплоснабжения при проведении их ежегодной актуализации сценариев развития аварий в схемах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p>
      <w:pPr>
        <w:pStyle w:val="Normal"/>
        <w:tabs>
          <w:tab w:val="clear" w:pos="708"/>
          <w:tab w:val="left" w:pos="567" w:leader="none"/>
        </w:tabs>
        <w:ind w:firstLine="709" w:end="29"/>
        <w:rPr>
          <w:rFonts w:ascii="Liberation Serif" w:hAnsi="Liberation Serif"/>
          <w:sz w:val="24"/>
          <w:szCs w:val="24"/>
        </w:rPr>
      </w:pPr>
      <w:r>
        <w:rPr>
          <w:rFonts w:cs="Times New Roman" w:ascii="Liberation Serif" w:hAnsi="Liberation Serif"/>
          <w:sz w:val="24"/>
          <w:szCs w:val="24"/>
        </w:rPr>
        <w:t>Предназначена для персонала ресурсоснабжающих и теплосетевых организаций, профильных руководителей и специалистов органов местного самоуправления, участвующих в разработке планов ликвидации и локализации аварий, инцидентов и иных нештатных ситуаций в системе теплоснабжения муниципального округа. Может быть применена для проведения расчетов гидравлических режимов системы теплоснабжения в период ликвидации аварий, последствий инцидентов и нештатных ситуаций.</w:t>
      </w:r>
    </w:p>
    <w:p>
      <w:pPr>
        <w:pStyle w:val="Normal"/>
        <w:tabs>
          <w:tab w:val="clear" w:pos="708"/>
          <w:tab w:val="left" w:pos="567" w:leader="none"/>
        </w:tabs>
        <w:ind w:firstLine="709" w:end="29"/>
        <w:rPr>
          <w:rFonts w:ascii="Liberation Serif" w:hAnsi="Liberation Serif"/>
          <w:sz w:val="24"/>
          <w:szCs w:val="24"/>
        </w:rPr>
      </w:pPr>
      <w:r>
        <w:rPr>
          <w:rFonts w:cs="Times New Roman" w:ascii="Liberation Serif" w:hAnsi="Liberation Serif"/>
          <w:sz w:val="24"/>
          <w:szCs w:val="24"/>
        </w:rPr>
        <w:t>Предполагает наличие электронной модели системы теплоснабжения городского округа, выполненной в системе ZuluThermo, программного обеспечения ZuluGis. Персонал должен быть обучен и обязан владеть навыками работы в указанной системе.</w:t>
      </w:r>
    </w:p>
    <w:p>
      <w:pPr>
        <w:pStyle w:val="Normal"/>
        <w:tabs>
          <w:tab w:val="clear" w:pos="708"/>
          <w:tab w:val="left" w:pos="567" w:leader="none"/>
        </w:tabs>
        <w:ind w:firstLine="709" w:end="29"/>
        <w:rPr>
          <w:rFonts w:ascii="Liberation Serif" w:hAnsi="Liberation Serif"/>
          <w:sz w:val="24"/>
          <w:szCs w:val="24"/>
        </w:rPr>
      </w:pPr>
      <w:r>
        <w:rPr>
          <w:rFonts w:cs="Times New Roman" w:ascii="Liberation Serif" w:hAnsi="Liberation Serif"/>
          <w:sz w:val="24"/>
          <w:szCs w:val="24"/>
        </w:rPr>
        <w:t>Программный комплекс устанавливается на персональный компьютер (сервер), имеющий технические характеристики, которые позволяют достаточно оперативно производить необходимые расчеты.</w:t>
      </w:r>
    </w:p>
    <w:p>
      <w:pPr>
        <w:pStyle w:val="Normal"/>
        <w:tabs>
          <w:tab w:val="clear" w:pos="708"/>
          <w:tab w:val="left" w:pos="567" w:leader="none"/>
        </w:tabs>
        <w:ind w:firstLine="709" w:end="29"/>
        <w:rPr>
          <w:rFonts w:ascii="Liberation Serif" w:hAnsi="Liberation Serif"/>
          <w:sz w:val="24"/>
          <w:szCs w:val="24"/>
        </w:rPr>
      </w:pPr>
      <w:r>
        <w:rPr>
          <w:rFonts w:ascii="Liberation Serif" w:hAnsi="Liberation Serif"/>
          <w:sz w:val="24"/>
          <w:szCs w:val="24"/>
        </w:rPr>
        <w:t>Порядок действий при получении информации об участке, где необходимо смоделировать развитие ситуации:</w:t>
      </w:r>
    </w:p>
    <w:p>
      <w:pPr>
        <w:pStyle w:val="Normal"/>
        <w:numPr>
          <w:ilvl w:val="0"/>
          <w:numId w:val="5"/>
        </w:numPr>
        <w:rPr>
          <w:rFonts w:ascii="Liberation Serif" w:hAnsi="Liberation Serif"/>
          <w:sz w:val="24"/>
          <w:szCs w:val="24"/>
        </w:rPr>
      </w:pPr>
      <w:r>
        <w:rPr>
          <w:rFonts w:ascii="Liberation Serif" w:hAnsi="Liberation Serif"/>
          <w:sz w:val="24"/>
          <w:szCs w:val="24"/>
        </w:rPr>
        <w:t xml:space="preserve">Открываем электронную модель системы теплоснабжения Тугулымского муниципального округа в системе ZuluGis. </w:t>
      </w:r>
    </w:p>
    <w:p>
      <w:pPr>
        <w:pStyle w:val="Normal"/>
        <w:numPr>
          <w:ilvl w:val="0"/>
          <w:numId w:val="5"/>
        </w:numPr>
        <w:rPr>
          <w:rFonts w:ascii="Liberation Serif" w:hAnsi="Liberation Serif"/>
          <w:sz w:val="24"/>
          <w:szCs w:val="24"/>
        </w:rPr>
      </w:pPr>
      <w:r>
        <w:rPr>
          <w:rFonts w:ascii="Liberation Serif" w:hAnsi="Liberation Serif"/>
          <w:sz w:val="24"/>
          <w:szCs w:val="24"/>
        </w:rPr>
        <w:t xml:space="preserve">Нажимаем на черный курсор (объект) Рисунок 1. </w:t>
      </w:r>
    </w:p>
    <w:p>
      <w:pPr>
        <w:pStyle w:val="Normal"/>
        <w:jc w:val="center"/>
        <w:rPr>
          <w:rFonts w:ascii="Liberation Serif" w:hAnsi="Liberation Serif"/>
          <w:sz w:val="24"/>
          <w:szCs w:val="24"/>
        </w:rPr>
      </w:pPr>
      <w:r>
        <w:rPr>
          <w:rFonts w:ascii="Liberation Serif" w:hAnsi="Liberation Serif"/>
          <w:sz w:val="24"/>
          <w:szCs w:val="24"/>
        </w:rPr>
        <w:drawing>
          <wp:inline distT="0" distB="0" distL="0" distR="0">
            <wp:extent cx="3928745" cy="1591310"/>
            <wp:effectExtent l="0" t="0" r="0" b="0"/>
            <wp:docPr id="2" name="Рисунок 5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5504"/>
                    <pic:cNvPicPr>
                      <a:picLocks noChangeAspect="1" noChangeArrowheads="1"/>
                    </pic:cNvPicPr>
                  </pic:nvPicPr>
                  <pic:blipFill>
                    <a:blip r:embed="rId8"/>
                    <a:stretch>
                      <a:fillRect/>
                    </a:stretch>
                  </pic:blipFill>
                  <pic:spPr bwMode="auto">
                    <a:xfrm>
                      <a:off x="0" y="0"/>
                      <a:ext cx="3928745" cy="1591310"/>
                    </a:xfrm>
                    <a:prstGeom prst="rect">
                      <a:avLst/>
                    </a:prstGeom>
                    <a:noFill/>
                  </pic:spPr>
                </pic:pic>
              </a:graphicData>
            </a:graphic>
          </wp:inline>
        </w:drawing>
      </w:r>
    </w:p>
    <w:p>
      <w:pPr>
        <w:pStyle w:val="Normal"/>
        <w:rPr>
          <w:rFonts w:ascii="Liberation Serif" w:hAnsi="Liberation Serif"/>
          <w:sz w:val="24"/>
          <w:szCs w:val="24"/>
        </w:rPr>
      </w:pPr>
      <w:r>
        <w:rPr>
          <w:rFonts w:ascii="Liberation Serif" w:hAnsi="Liberation Serif"/>
          <w:sz w:val="24"/>
          <w:szCs w:val="24"/>
        </w:rPr>
        <w:t xml:space="preserve">Рисунок 1. </w:t>
      </w:r>
    </w:p>
    <w:p>
      <w:pPr>
        <w:pStyle w:val="Normal"/>
        <w:rPr>
          <w:rFonts w:ascii="Liberation Serif" w:hAnsi="Liberation Serif"/>
          <w:sz w:val="24"/>
          <w:szCs w:val="24"/>
        </w:rPr>
      </w:pPr>
      <w:r>
        <w:rPr>
          <w:rFonts w:ascii="Liberation Serif" w:hAnsi="Liberation Serif"/>
          <w:sz w:val="24"/>
          <w:szCs w:val="24"/>
        </w:rPr>
      </w:r>
    </w:p>
    <w:p>
      <w:pPr>
        <w:pStyle w:val="ListParagraph"/>
        <w:numPr>
          <w:ilvl w:val="0"/>
          <w:numId w:val="5"/>
        </w:numPr>
        <w:spacing w:lineRule="auto" w:line="360" w:before="0" w:after="0"/>
        <w:contextualSpacing/>
        <w:jc w:val="start"/>
        <w:rPr>
          <w:rFonts w:ascii="Liberation Serif" w:hAnsi="Liberation Serif"/>
          <w:sz w:val="24"/>
          <w:szCs w:val="24"/>
        </w:rPr>
      </w:pPr>
      <w:r>
        <w:rPr>
          <w:rFonts w:ascii="Liberation Serif" w:hAnsi="Liberation Serif"/>
          <w:sz w:val="24"/>
          <w:szCs w:val="24"/>
        </w:rPr>
        <w:t xml:space="preserve">Выбираем объект на схеме (котельная, участок, потребитель и т.п.). Рассмотрим на примере участка. После выделения участок будет помечен штриховкой (в зависимости от версии) Рисунок 2. </w:t>
      </w:r>
    </w:p>
    <w:p>
      <w:pPr>
        <w:pStyle w:val="Normal"/>
        <w:tabs>
          <w:tab w:val="clear" w:pos="708"/>
          <w:tab w:val="center" w:pos="7398" w:leader="none"/>
        </w:tabs>
        <w:jc w:val="center"/>
        <w:rPr>
          <w:rFonts w:ascii="Liberation Serif" w:hAnsi="Liberation Serif"/>
          <w:sz w:val="24"/>
          <w:szCs w:val="24"/>
        </w:rPr>
      </w:pPr>
      <w:r>
        <w:rPr>
          <w:rFonts w:ascii="Liberation Serif" w:hAnsi="Liberation Serif"/>
          <w:sz w:val="24"/>
          <w:szCs w:val="24"/>
        </w:rPr>
        <w:drawing>
          <wp:inline distT="0" distB="0" distL="0" distR="0">
            <wp:extent cx="4081145" cy="2905125"/>
            <wp:effectExtent l="0" t="0" r="0" b="0"/>
            <wp:docPr id="3" name="Рисунок 5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5505"/>
                    <pic:cNvPicPr>
                      <a:picLocks noChangeAspect="1" noChangeArrowheads="1"/>
                    </pic:cNvPicPr>
                  </pic:nvPicPr>
                  <pic:blipFill>
                    <a:blip r:embed="rId9"/>
                    <a:stretch>
                      <a:fillRect/>
                    </a:stretch>
                  </pic:blipFill>
                  <pic:spPr bwMode="auto">
                    <a:xfrm>
                      <a:off x="0" y="0"/>
                      <a:ext cx="4081145" cy="2905125"/>
                    </a:xfrm>
                    <a:prstGeom prst="rect">
                      <a:avLst/>
                    </a:prstGeom>
                    <a:noFill/>
                  </pic:spPr>
                </pic:pic>
              </a:graphicData>
            </a:graphic>
          </wp:inline>
        </w:drawing>
      </w:r>
    </w:p>
    <w:p>
      <w:pPr>
        <w:pStyle w:val="Normal"/>
        <w:rPr>
          <w:rFonts w:ascii="Liberation Serif" w:hAnsi="Liberation Serif"/>
          <w:sz w:val="24"/>
          <w:szCs w:val="24"/>
        </w:rPr>
      </w:pPr>
      <w:r>
        <w:rPr>
          <w:rFonts w:ascii="Liberation Serif" w:hAnsi="Liberation Serif"/>
          <w:sz w:val="24"/>
          <w:szCs w:val="24"/>
        </w:rPr>
        <w:t xml:space="preserve">Рисунок 2. </w:t>
      </w:r>
    </w:p>
    <w:p>
      <w:pPr>
        <w:pStyle w:val="Normal"/>
        <w:numPr>
          <w:ilvl w:val="0"/>
          <w:numId w:val="5"/>
        </w:numPr>
        <w:rPr>
          <w:rFonts w:ascii="Liberation Serif" w:hAnsi="Liberation Serif"/>
          <w:sz w:val="24"/>
          <w:szCs w:val="24"/>
        </w:rPr>
      </w:pPr>
      <w:r>
        <w:rPr>
          <w:rFonts w:ascii="Liberation Serif" w:hAnsi="Liberation Serif"/>
          <w:sz w:val="24"/>
          <w:szCs w:val="24"/>
        </w:rPr>
        <w:t xml:space="preserve">Наводим курсор на выделенный участок и нажимаем правую кнопку мыши, появляется окно Рисунок 3. </w:t>
      </w:r>
    </w:p>
    <w:p>
      <w:pPr>
        <w:pStyle w:val="Normal"/>
        <w:jc w:val="center"/>
        <w:rPr>
          <w:rFonts w:ascii="Liberation Serif" w:hAnsi="Liberation Serif"/>
          <w:sz w:val="24"/>
          <w:szCs w:val="24"/>
        </w:rPr>
      </w:pPr>
      <w:r>
        <w:rPr>
          <w:rFonts w:ascii="Liberation Serif" w:hAnsi="Liberation Serif"/>
          <w:sz w:val="24"/>
          <w:szCs w:val="24"/>
        </w:rPr>
        <w:drawing>
          <wp:inline distT="0" distB="0" distL="0" distR="0">
            <wp:extent cx="3683000" cy="3505200"/>
            <wp:effectExtent l="0" t="0" r="0" b="0"/>
            <wp:docPr id="4" name="Рисунок 5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506"/>
                    <pic:cNvPicPr>
                      <a:picLocks noChangeAspect="1" noChangeArrowheads="1"/>
                    </pic:cNvPicPr>
                  </pic:nvPicPr>
                  <pic:blipFill>
                    <a:blip r:embed="rId10"/>
                    <a:stretch>
                      <a:fillRect/>
                    </a:stretch>
                  </pic:blipFill>
                  <pic:spPr bwMode="auto">
                    <a:xfrm>
                      <a:off x="0" y="0"/>
                      <a:ext cx="3683000" cy="3505200"/>
                    </a:xfrm>
                    <a:prstGeom prst="rect">
                      <a:avLst/>
                    </a:prstGeom>
                    <a:noFill/>
                  </pic:spPr>
                </pic:pic>
              </a:graphicData>
            </a:graphic>
          </wp:inline>
        </w:drawing>
      </w:r>
      <w:r>
        <w:rPr>
          <w:rFonts w:ascii="Liberation Serif" w:hAnsi="Liberation Serif"/>
          <w:sz w:val="24"/>
          <w:szCs w:val="24"/>
        </w:rPr>
        <w:t xml:space="preserve"> </w:t>
      </w:r>
    </w:p>
    <w:p>
      <w:pPr>
        <w:pStyle w:val="Normal"/>
        <w:rPr>
          <w:rFonts w:ascii="Liberation Serif" w:hAnsi="Liberation Serif"/>
          <w:sz w:val="24"/>
          <w:szCs w:val="24"/>
        </w:rPr>
      </w:pPr>
      <w:r>
        <w:rPr>
          <w:rFonts w:ascii="Liberation Serif" w:hAnsi="Liberation Serif"/>
          <w:sz w:val="24"/>
          <w:szCs w:val="24"/>
        </w:rPr>
        <w:t xml:space="preserve">Рисунок 3. </w:t>
      </w:r>
    </w:p>
    <w:p>
      <w:pPr>
        <w:pStyle w:val="Normal"/>
        <w:rPr>
          <w:rFonts w:ascii="Liberation Serif" w:hAnsi="Liberation Serif"/>
          <w:sz w:val="24"/>
          <w:szCs w:val="24"/>
        </w:rPr>
      </w:pPr>
      <w:r>
        <w:rPr>
          <w:rFonts w:ascii="Liberation Serif" w:hAnsi="Liberation Serif"/>
          <w:sz w:val="24"/>
          <w:szCs w:val="24"/>
        </w:rPr>
      </w:r>
    </w:p>
    <w:p>
      <w:pPr>
        <w:pStyle w:val="Normal"/>
        <w:numPr>
          <w:ilvl w:val="0"/>
          <w:numId w:val="5"/>
        </w:numPr>
        <w:rPr>
          <w:rFonts w:ascii="Liberation Serif" w:hAnsi="Liberation Serif"/>
          <w:sz w:val="24"/>
          <w:szCs w:val="24"/>
        </w:rPr>
      </w:pPr>
      <w:r>
        <w:rPr>
          <w:rFonts w:ascii="Liberation Serif" w:hAnsi="Liberation Serif"/>
          <w:sz w:val="24"/>
          <w:szCs w:val="24"/>
        </w:rPr>
        <w:t xml:space="preserve">Выбираем свойства объектов Рисунок 4. </w:t>
      </w:r>
    </w:p>
    <w:p>
      <w:pPr>
        <w:pStyle w:val="Normal"/>
        <w:jc w:val="center"/>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drawing>
          <wp:inline distT="0" distB="0" distL="0" distR="0">
            <wp:extent cx="3014345" cy="2675255"/>
            <wp:effectExtent l="0" t="0" r="0" b="0"/>
            <wp:docPr id="5" name="Рисунок 5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507"/>
                    <pic:cNvPicPr>
                      <a:picLocks noChangeAspect="1" noChangeArrowheads="1"/>
                    </pic:cNvPicPr>
                  </pic:nvPicPr>
                  <pic:blipFill>
                    <a:blip r:embed="rId11"/>
                    <a:stretch>
                      <a:fillRect/>
                    </a:stretch>
                  </pic:blipFill>
                  <pic:spPr bwMode="auto">
                    <a:xfrm>
                      <a:off x="0" y="0"/>
                      <a:ext cx="3014345" cy="2675255"/>
                    </a:xfrm>
                    <a:prstGeom prst="rect">
                      <a:avLst/>
                    </a:prstGeom>
                    <a:noFill/>
                  </pic:spPr>
                </pic:pic>
              </a:graphicData>
            </a:graphic>
          </wp:inline>
        </w:drawing>
      </w:r>
    </w:p>
    <w:p>
      <w:pPr>
        <w:pStyle w:val="Normal"/>
        <w:rPr>
          <w:rFonts w:ascii="Liberation Serif" w:hAnsi="Liberation Serif"/>
          <w:sz w:val="24"/>
          <w:szCs w:val="24"/>
        </w:rPr>
      </w:pPr>
      <w:r>
        <w:rPr>
          <w:rFonts w:ascii="Liberation Serif" w:hAnsi="Liberation Serif"/>
          <w:sz w:val="24"/>
          <w:szCs w:val="24"/>
        </w:rPr>
        <w:t xml:space="preserve">Рисунок 4. </w:t>
      </w:r>
    </w:p>
    <w:p>
      <w:pPr>
        <w:pStyle w:val="Normal"/>
        <w:numPr>
          <w:ilvl w:val="0"/>
          <w:numId w:val="5"/>
        </w:numPr>
        <w:rPr>
          <w:rFonts w:ascii="Liberation Serif" w:hAnsi="Liberation Serif"/>
          <w:sz w:val="24"/>
          <w:szCs w:val="24"/>
        </w:rPr>
      </w:pPr>
      <w:r>
        <w:rPr>
          <w:rFonts w:ascii="Liberation Serif" w:hAnsi="Liberation Serif"/>
          <w:sz w:val="24"/>
          <w:szCs w:val="24"/>
        </w:rPr>
        <w:t xml:space="preserve">Появляется окно: Объекты для изменения параметров группы, нажимаем «Изменить Параметры» Рисунок 5. </w:t>
      </w:r>
    </w:p>
    <w:p>
      <w:pPr>
        <w:pStyle w:val="Normal"/>
        <w:jc w:val="start"/>
        <w:rPr>
          <w:rFonts w:ascii="Liberation Serif" w:hAnsi="Liberation Serif"/>
          <w:sz w:val="24"/>
          <w:szCs w:val="24"/>
        </w:rPr>
      </w:pPr>
      <w:r>
        <w:rPr>
          <w:rFonts w:ascii="Liberation Serif" w:hAnsi="Liberation Serif"/>
          <w:sz w:val="24"/>
          <w:szCs w:val="24"/>
        </w:rPr>
        <w:t xml:space="preserve"> </w:t>
      </w:r>
    </w:p>
    <w:p>
      <w:pPr>
        <w:pStyle w:val="Normal"/>
        <w:jc w:val="center"/>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drawing>
          <wp:inline distT="0" distB="0" distL="0" distR="0">
            <wp:extent cx="3674745" cy="3158490"/>
            <wp:effectExtent l="0" t="0" r="0" b="0"/>
            <wp:docPr id="6" name="Рисунок 5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508"/>
                    <pic:cNvPicPr>
                      <a:picLocks noChangeAspect="1" noChangeArrowheads="1"/>
                    </pic:cNvPicPr>
                  </pic:nvPicPr>
                  <pic:blipFill>
                    <a:blip r:embed="rId12"/>
                    <a:stretch>
                      <a:fillRect/>
                    </a:stretch>
                  </pic:blipFill>
                  <pic:spPr bwMode="auto">
                    <a:xfrm>
                      <a:off x="0" y="0"/>
                      <a:ext cx="3674745" cy="3158490"/>
                    </a:xfrm>
                    <a:prstGeom prst="rect">
                      <a:avLst/>
                    </a:prstGeom>
                    <a:noFill/>
                  </pic:spPr>
                </pic:pic>
              </a:graphicData>
            </a:graphic>
          </wp:inline>
        </w:drawing>
      </w:r>
    </w:p>
    <w:p>
      <w:pPr>
        <w:pStyle w:val="Normal"/>
        <w:rPr>
          <w:rFonts w:ascii="Liberation Serif" w:hAnsi="Liberation Serif"/>
          <w:sz w:val="24"/>
          <w:szCs w:val="24"/>
        </w:rPr>
      </w:pPr>
      <w:r>
        <w:rPr>
          <w:rFonts w:ascii="Liberation Serif" w:hAnsi="Liberation Serif"/>
          <w:sz w:val="24"/>
          <w:szCs w:val="24"/>
        </w:rPr>
        <w:t xml:space="preserve">Рисунок 5. </w:t>
      </w:r>
    </w:p>
    <w:p>
      <w:pPr>
        <w:pStyle w:val="Normal"/>
        <w:rPr>
          <w:rFonts w:ascii="Liberation Serif" w:hAnsi="Liberation Serif"/>
          <w:sz w:val="24"/>
          <w:szCs w:val="24"/>
        </w:rPr>
      </w:pPr>
      <w:r>
        <w:rPr>
          <w:rFonts w:ascii="Liberation Serif" w:hAnsi="Liberation Serif"/>
          <w:sz w:val="24"/>
          <w:szCs w:val="24"/>
        </w:rPr>
      </w:r>
    </w:p>
    <w:p>
      <w:pPr>
        <w:pStyle w:val="Normal"/>
        <w:numPr>
          <w:ilvl w:val="0"/>
          <w:numId w:val="5"/>
        </w:numPr>
        <w:rPr>
          <w:rFonts w:ascii="Liberation Serif" w:hAnsi="Liberation Serif"/>
          <w:sz w:val="24"/>
          <w:szCs w:val="24"/>
        </w:rPr>
      </w:pPr>
      <w:r>
        <w:rPr>
          <w:rFonts w:ascii="Liberation Serif" w:hAnsi="Liberation Serif"/>
          <w:sz w:val="24"/>
          <w:szCs w:val="24"/>
        </w:rPr>
        <w:t xml:space="preserve">Появляется окно: Смена режима, нажимаем Режим: Отключен, далее нажимаем ОК. Рисунок 6. </w:t>
      </w:r>
    </w:p>
    <w:p>
      <w:pPr>
        <w:pStyle w:val="Normal"/>
        <w:jc w:val="center"/>
        <w:rPr>
          <w:rFonts w:ascii="Liberation Serif" w:hAnsi="Liberation Serif"/>
          <w:sz w:val="24"/>
          <w:szCs w:val="24"/>
        </w:rPr>
      </w:pPr>
      <w:r>
        <w:rPr>
          <w:rFonts w:ascii="Liberation Serif" w:hAnsi="Liberation Serif"/>
          <w:sz w:val="24"/>
          <w:szCs w:val="24"/>
        </w:rPr>
        <w:drawing>
          <wp:inline distT="0" distB="0" distL="0" distR="0">
            <wp:extent cx="3192145" cy="3056255"/>
            <wp:effectExtent l="0" t="0" r="0" b="0"/>
            <wp:docPr id="7" name="Рисунок 5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5509"/>
                    <pic:cNvPicPr>
                      <a:picLocks noChangeAspect="1" noChangeArrowheads="1"/>
                    </pic:cNvPicPr>
                  </pic:nvPicPr>
                  <pic:blipFill>
                    <a:blip r:embed="rId13"/>
                    <a:stretch>
                      <a:fillRect/>
                    </a:stretch>
                  </pic:blipFill>
                  <pic:spPr bwMode="auto">
                    <a:xfrm>
                      <a:off x="0" y="0"/>
                      <a:ext cx="3192145" cy="3056255"/>
                    </a:xfrm>
                    <a:prstGeom prst="rect">
                      <a:avLst/>
                    </a:prstGeom>
                    <a:noFill/>
                  </pic:spPr>
                </pic:pic>
              </a:graphicData>
            </a:graphic>
          </wp:inline>
        </w:drawing>
      </w:r>
    </w:p>
    <w:p>
      <w:pPr>
        <w:pStyle w:val="Normal"/>
        <w:jc w:val="start"/>
        <w:rPr>
          <w:rFonts w:ascii="Liberation Serif" w:hAnsi="Liberation Serif"/>
          <w:sz w:val="24"/>
          <w:szCs w:val="24"/>
        </w:rPr>
      </w:pPr>
      <w:r>
        <w:rPr>
          <w:rFonts w:ascii="Liberation Serif" w:hAnsi="Liberation Serif"/>
          <w:sz w:val="24"/>
          <w:szCs w:val="24"/>
        </w:rPr>
        <w:t>Рисунок 6.</w:t>
      </w:r>
    </w:p>
    <w:p>
      <w:pPr>
        <w:pStyle w:val="Normal"/>
        <w:numPr>
          <w:ilvl w:val="0"/>
          <w:numId w:val="5"/>
        </w:numPr>
        <w:rPr>
          <w:rFonts w:ascii="Liberation Serif" w:hAnsi="Liberation Serif"/>
          <w:sz w:val="24"/>
          <w:szCs w:val="24"/>
        </w:rPr>
      </w:pPr>
      <w:r>
        <w:rPr>
          <w:rFonts w:ascii="Liberation Serif" w:hAnsi="Liberation Serif"/>
          <w:sz w:val="24"/>
          <w:szCs w:val="24"/>
        </w:rPr>
        <w:t xml:space="preserve">Выбранный участок окрашивается в красный цвет, что говорит о том, что он отключен. </w:t>
      </w:r>
    </w:p>
    <w:p>
      <w:pPr>
        <w:pStyle w:val="Normal"/>
        <w:numPr>
          <w:ilvl w:val="0"/>
          <w:numId w:val="5"/>
        </w:numPr>
        <w:rPr>
          <w:rFonts w:ascii="Liberation Serif" w:hAnsi="Liberation Serif"/>
          <w:sz w:val="24"/>
          <w:szCs w:val="24"/>
        </w:rPr>
      </w:pPr>
      <w:r>
        <w:rPr>
          <w:rFonts w:ascii="Liberation Serif" w:hAnsi="Liberation Serif"/>
          <w:sz w:val="24"/>
          <w:szCs w:val="24"/>
        </w:rPr>
        <w:t xml:space="preserve">Проводим расчёт в ZuluThermo. Рисунок 7. </w:t>
      </w:r>
    </w:p>
    <w:p>
      <w:pPr>
        <w:pStyle w:val="Normal"/>
        <w:jc w:val="start"/>
        <w:rPr>
          <w:rFonts w:ascii="Liberation Serif" w:hAnsi="Liberation Serif"/>
          <w:sz w:val="24"/>
          <w:szCs w:val="24"/>
        </w:rPr>
      </w:pPr>
      <w:r>
        <w:rPr>
          <w:rFonts w:ascii="Liberation Serif" w:hAnsi="Liberation Serif"/>
          <w:sz w:val="24"/>
          <w:szCs w:val="24"/>
        </w:rPr>
        <w:t xml:space="preserve"> </w:t>
      </w:r>
    </w:p>
    <w:p>
      <w:pPr>
        <w:pStyle w:val="Normal"/>
        <w:jc w:val="center"/>
        <w:rPr>
          <w:rFonts w:ascii="Liberation Serif" w:hAnsi="Liberation Serif"/>
          <w:sz w:val="24"/>
          <w:szCs w:val="24"/>
        </w:rPr>
      </w:pPr>
      <w:r>
        <w:rPr>
          <w:rFonts w:ascii="Liberation Serif" w:hAnsi="Liberation Serif"/>
          <w:sz w:val="24"/>
          <w:szCs w:val="24"/>
        </w:rPr>
        <w:drawing>
          <wp:inline distT="0" distB="0" distL="0" distR="0">
            <wp:extent cx="4887595" cy="675640"/>
            <wp:effectExtent l="0" t="0" r="0" b="0"/>
            <wp:docPr id="8" name="Рисунок 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5510"/>
                    <pic:cNvPicPr>
                      <a:picLocks noChangeAspect="1" noChangeArrowheads="1"/>
                    </pic:cNvPicPr>
                  </pic:nvPicPr>
                  <pic:blipFill>
                    <a:blip r:embed="rId14"/>
                    <a:stretch>
                      <a:fillRect/>
                    </a:stretch>
                  </pic:blipFill>
                  <pic:spPr bwMode="auto">
                    <a:xfrm>
                      <a:off x="0" y="0"/>
                      <a:ext cx="4887595" cy="675640"/>
                    </a:xfrm>
                    <a:prstGeom prst="rect">
                      <a:avLst/>
                    </a:prstGeom>
                    <a:noFill/>
                  </pic:spPr>
                </pic:pic>
              </a:graphicData>
            </a:graphic>
          </wp:inline>
        </w:drawing>
      </w:r>
    </w:p>
    <w:p>
      <w:pPr>
        <w:pStyle w:val="Normal"/>
        <w:jc w:val="center"/>
        <w:rPr>
          <w:rFonts w:ascii="Liberation Serif" w:hAnsi="Liberation Serif"/>
          <w:sz w:val="24"/>
          <w:szCs w:val="24"/>
        </w:rPr>
      </w:pPr>
      <w:r>
        <w:rPr>
          <w:rFonts w:ascii="Liberation Serif" w:hAnsi="Liberation Serif"/>
          <w:sz w:val="24"/>
          <w:szCs w:val="24"/>
        </w:rPr>
        <w:drawing>
          <wp:inline distT="0" distB="0" distL="0" distR="0">
            <wp:extent cx="4885055" cy="2435860"/>
            <wp:effectExtent l="0" t="0" r="0" b="0"/>
            <wp:docPr id="9" name="Рисунок 5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5511"/>
                    <pic:cNvPicPr>
                      <a:picLocks noChangeAspect="1" noChangeArrowheads="1"/>
                    </pic:cNvPicPr>
                  </pic:nvPicPr>
                  <pic:blipFill>
                    <a:blip r:embed="rId15"/>
                    <a:stretch>
                      <a:fillRect/>
                    </a:stretch>
                  </pic:blipFill>
                  <pic:spPr bwMode="auto">
                    <a:xfrm>
                      <a:off x="0" y="0"/>
                      <a:ext cx="4885055" cy="2435860"/>
                    </a:xfrm>
                    <a:prstGeom prst="rect">
                      <a:avLst/>
                    </a:prstGeom>
                    <a:noFill/>
                  </pic:spPr>
                </pic:pic>
              </a:graphicData>
            </a:graphic>
          </wp:inline>
        </w:drawing>
      </w:r>
    </w:p>
    <w:p>
      <w:pPr>
        <w:pStyle w:val="Normal"/>
        <w:rPr>
          <w:rFonts w:ascii="Liberation Serif" w:hAnsi="Liberation Serif"/>
          <w:sz w:val="24"/>
          <w:szCs w:val="24"/>
        </w:rPr>
      </w:pPr>
      <w:r>
        <w:rPr>
          <w:rFonts w:ascii="Liberation Serif" w:hAnsi="Liberation Serif"/>
          <w:sz w:val="24"/>
          <w:szCs w:val="24"/>
        </w:rPr>
        <w:t>Рисунок 7.</w:t>
      </w:r>
    </w:p>
    <w:p>
      <w:pPr>
        <w:pStyle w:val="ListParagraph"/>
        <w:numPr>
          <w:ilvl w:val="0"/>
          <w:numId w:val="5"/>
        </w:numPr>
        <w:spacing w:lineRule="auto" w:line="360" w:before="0" w:after="0"/>
        <w:contextualSpacing/>
        <w:rPr>
          <w:rFonts w:ascii="Liberation Serif" w:hAnsi="Liberation Serif"/>
          <w:sz w:val="24"/>
          <w:szCs w:val="24"/>
        </w:rPr>
      </w:pPr>
      <w:r>
        <w:rPr>
          <w:rFonts w:ascii="Liberation Serif" w:hAnsi="Liberation Serif"/>
          <w:sz w:val="24"/>
          <w:szCs w:val="24"/>
        </w:rPr>
        <w:t xml:space="preserve">Выбираем слой карты, переходим во вкладку «Поверка», нажимаем «Расчет». </w:t>
      </w:r>
    </w:p>
    <w:p>
      <w:pPr>
        <w:pStyle w:val="Normal"/>
        <w:tabs>
          <w:tab w:val="clear" w:pos="708"/>
          <w:tab w:val="left" w:pos="6804" w:leader="none"/>
        </w:tabs>
        <w:rPr>
          <w:rFonts w:ascii="Liberation Serif" w:hAnsi="Liberation Serif"/>
          <w:sz w:val="24"/>
          <w:szCs w:val="24"/>
        </w:rPr>
      </w:pPr>
      <w:r>
        <w:rPr>
          <w:rFonts w:ascii="Liberation Serif" w:hAnsi="Liberation Serif"/>
          <w:sz w:val="24"/>
          <w:szCs w:val="24"/>
        </w:rPr>
        <w:t>После этого во вкладке «Поверка» можно оценить по раскраске располагаемый напор, скорость, удельные потери и т.д. Рисунок 8.</w:t>
      </w:r>
    </w:p>
    <w:p>
      <w:pPr>
        <w:pStyle w:val="Normal"/>
        <w:tabs>
          <w:tab w:val="clear" w:pos="708"/>
          <w:tab w:val="left" w:pos="6804" w:leader="none"/>
        </w:tabs>
        <w:rPr>
          <w:rFonts w:ascii="Liberation Serif" w:hAnsi="Liberation Serif"/>
          <w:sz w:val="24"/>
          <w:szCs w:val="24"/>
        </w:rPr>
      </w:pPr>
      <w:r>
        <w:rPr>
          <w:rFonts w:ascii="Liberation Serif" w:hAnsi="Liberation Serif"/>
          <w:sz w:val="24"/>
          <w:szCs w:val="24"/>
        </w:rPr>
      </w:r>
    </w:p>
    <w:p>
      <w:pPr>
        <w:pStyle w:val="Normal"/>
        <w:tabs>
          <w:tab w:val="clear" w:pos="708"/>
          <w:tab w:val="left" w:pos="6804" w:leader="none"/>
        </w:tabs>
        <w:rPr>
          <w:rFonts w:ascii="Liberation Serif" w:hAnsi="Liberation Serif"/>
          <w:sz w:val="24"/>
          <w:szCs w:val="24"/>
        </w:rPr>
      </w:pPr>
      <w:r>
        <w:rPr>
          <w:rFonts w:ascii="Liberation Serif" w:hAnsi="Liberation Serif"/>
          <w:sz w:val="24"/>
          <w:szCs w:val="24"/>
        </w:rPr>
        <w:drawing>
          <wp:inline distT="0" distB="0" distL="0" distR="0">
            <wp:extent cx="5250815" cy="2658745"/>
            <wp:effectExtent l="0" t="0" r="0" b="0"/>
            <wp:docPr id="10" name="Рисунок 5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5512"/>
                    <pic:cNvPicPr>
                      <a:picLocks noChangeAspect="1" noChangeArrowheads="1"/>
                    </pic:cNvPicPr>
                  </pic:nvPicPr>
                  <pic:blipFill>
                    <a:blip r:embed="rId16"/>
                    <a:stretch>
                      <a:fillRect/>
                    </a:stretch>
                  </pic:blipFill>
                  <pic:spPr bwMode="auto">
                    <a:xfrm>
                      <a:off x="0" y="0"/>
                      <a:ext cx="5250815" cy="2658745"/>
                    </a:xfrm>
                    <a:prstGeom prst="rect">
                      <a:avLst/>
                    </a:prstGeom>
                    <a:noFill/>
                  </pic:spPr>
                </pic:pic>
              </a:graphicData>
            </a:graphic>
          </wp:inline>
        </w:drawing>
      </w:r>
    </w:p>
    <w:p>
      <w:pPr>
        <w:pStyle w:val="Normal"/>
        <w:rPr>
          <w:rFonts w:ascii="Liberation Serif" w:hAnsi="Liberation Serif"/>
          <w:sz w:val="24"/>
          <w:szCs w:val="24"/>
        </w:rPr>
      </w:pPr>
      <w:r>
        <w:rPr>
          <w:rFonts w:ascii="Liberation Serif" w:hAnsi="Liberation Serif"/>
          <w:sz w:val="24"/>
          <w:szCs w:val="24"/>
        </w:rPr>
        <w:t xml:space="preserve">Рисунок 8. </w:t>
      </w:r>
    </w:p>
    <w:p>
      <w:pPr>
        <w:pStyle w:val="Normal"/>
        <w:rPr>
          <w:rFonts w:ascii="Liberation Serif" w:hAnsi="Liberation Serif"/>
          <w:sz w:val="24"/>
          <w:szCs w:val="24"/>
        </w:rPr>
      </w:pPr>
      <w:r>
        <w:rPr>
          <w:rFonts w:ascii="Liberation Serif" w:hAnsi="Liberation Serif"/>
          <w:sz w:val="24"/>
          <w:szCs w:val="24"/>
        </w:rPr>
        <w:t xml:space="preserve">После поверочного расчета, мы получаем данные о количестве тепловой энергии, вырабатываемой на источнике за час, расход тепла на систему отопления, давление в обратном и подающем трубопроводе, потери тепловой мощности. По раскраске мы можем оценить располагаемый напор, скорость, удельные потери. Отключенный участок (участки) окрашивается в красный цвет, персонал имеет возможность определить количество отключенных потребителей (домов, домовладений). </w:t>
      </w:r>
    </w:p>
    <w:p>
      <w:pPr>
        <w:pStyle w:val="Normal"/>
        <w:tabs>
          <w:tab w:val="clear" w:pos="708"/>
          <w:tab w:val="left" w:pos="567" w:leader="none"/>
        </w:tabs>
        <w:ind w:firstLine="709" w:end="29"/>
        <w:rPr>
          <w:rFonts w:ascii="Liberation Serif" w:hAnsi="Liberation Serif" w:cs="Times New Roman"/>
          <w:sz w:val="24"/>
          <w:szCs w:val="24"/>
        </w:rPr>
      </w:pPr>
      <w:r>
        <w:rPr>
          <w:rFonts w:cs="Times New Roman" w:ascii="Liberation Serif" w:hAnsi="Liberation Serif"/>
          <w:sz w:val="24"/>
          <w:szCs w:val="24"/>
        </w:rPr>
      </w:r>
    </w:p>
    <w:p>
      <w:pPr>
        <w:pStyle w:val="Normal"/>
        <w:tabs>
          <w:tab w:val="clear" w:pos="708"/>
          <w:tab w:val="left" w:pos="567" w:leader="none"/>
        </w:tabs>
        <w:ind w:firstLine="709" w:end="29"/>
        <w:rPr>
          <w:rFonts w:ascii="Liberation Serif" w:hAnsi="Liberation Serif" w:cs="Times New Roman"/>
          <w:sz w:val="24"/>
          <w:szCs w:val="24"/>
        </w:rPr>
      </w:pPr>
      <w:r>
        <w:rPr>
          <w:rFonts w:cs="Times New Roman" w:ascii="Liberation Serif" w:hAnsi="Liberation Serif"/>
          <w:sz w:val="24"/>
          <w:szCs w:val="24"/>
        </w:rPr>
      </w:r>
    </w:p>
    <w:p>
      <w:pPr>
        <w:pStyle w:val="Normal"/>
        <w:tabs>
          <w:tab w:val="clear" w:pos="708"/>
          <w:tab w:val="left" w:pos="567" w:leader="none"/>
        </w:tabs>
        <w:spacing w:before="0" w:after="0"/>
        <w:ind w:firstLine="709" w:end="29"/>
        <w:rPr>
          <w:rFonts w:ascii="Liberation Serif" w:hAnsi="Liberation Serif" w:cs="Times New Roman"/>
          <w:sz w:val="24"/>
          <w:szCs w:val="24"/>
        </w:rPr>
        <w:sectPr>
          <w:footerReference w:type="even" r:id="rId17"/>
          <w:footerReference w:type="default" r:id="rId18"/>
          <w:footerReference w:type="first" r:id="rId19"/>
          <w:type w:val="nextPage"/>
          <w:pgSz w:w="11906" w:h="16838"/>
          <w:pgMar w:left="1134" w:right="678" w:gutter="0" w:header="0" w:top="993" w:footer="215" w:bottom="1134"/>
          <w:pgNumType w:fmt="decimal"/>
          <w:formProt w:val="false"/>
          <w:titlePg/>
          <w:textDirection w:val="lrTb"/>
          <w:docGrid w:type="default" w:linePitch="360" w:charSpace="0"/>
        </w:sectPr>
      </w:pPr>
      <w:r>
        <w:rPr>
          <w:rFonts w:cs="Times New Roman" w:ascii="Liberation Serif" w:hAnsi="Liberation Serif"/>
          <w:sz w:val="24"/>
          <w:szCs w:val="24"/>
        </w:rPr>
      </w:r>
    </w:p>
    <w:p>
      <w:pPr>
        <w:pStyle w:val="Normal"/>
        <w:jc w:val="end"/>
        <w:rPr>
          <w:rFonts w:ascii="Liberation Serif" w:hAnsi="Liberation Serif"/>
          <w:sz w:val="24"/>
          <w:szCs w:val="24"/>
        </w:rPr>
      </w:pPr>
      <w:r>
        <w:rPr>
          <w:rFonts w:cs="Times New Roman" w:ascii="Liberation Serif" w:hAnsi="Liberation Serif"/>
          <w:sz w:val="24"/>
          <w:szCs w:val="24"/>
        </w:rPr>
        <w:t xml:space="preserve">Приложение 3 - </w:t>
      </w:r>
      <w:r>
        <w:rPr>
          <w:rFonts w:cs="Times New Roman" w:ascii="Liberation Serif" w:hAnsi="Liberation Serif"/>
          <w:bCs/>
          <w:sz w:val="24"/>
          <w:szCs w:val="24"/>
        </w:rPr>
        <w:t xml:space="preserve">Силы и средства для ликвидации последствий аварий на объектах теплоснабжения </w:t>
      </w:r>
    </w:p>
    <w:p>
      <w:pPr>
        <w:pStyle w:val="Normal"/>
        <w:spacing w:lineRule="auto" w:line="240"/>
        <w:jc w:val="start"/>
        <w:rPr>
          <w:rFonts w:ascii="Liberation Serif" w:hAnsi="Liberation Serif"/>
          <w:sz w:val="24"/>
          <w:szCs w:val="24"/>
        </w:rPr>
      </w:pPr>
      <w:r>
        <w:rPr>
          <w:rFonts w:ascii="Liberation Serif" w:hAnsi="Liberation Serif"/>
          <w:b/>
          <w:color w:val="FF0000"/>
          <w:sz w:val="24"/>
          <w:szCs w:val="24"/>
        </w:rPr>
        <w:t xml:space="preserve">  </w:t>
      </w:r>
    </w:p>
    <w:tbl>
      <w:tblPr>
        <w:tblW w:w="14598"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99"/>
        <w:gridCol w:w="1544"/>
        <w:gridCol w:w="1984"/>
        <w:gridCol w:w="1524"/>
        <w:gridCol w:w="829"/>
        <w:gridCol w:w="835"/>
        <w:gridCol w:w="1543"/>
        <w:gridCol w:w="730"/>
        <w:gridCol w:w="1984"/>
        <w:gridCol w:w="822"/>
        <w:gridCol w:w="1696"/>
        <w:gridCol w:w="608"/>
      </w:tblGrid>
      <w:tr>
        <w:trPr>
          <w:trHeight w:val="288" w:hRule="atLeast"/>
        </w:trPr>
        <w:tc>
          <w:tcPr>
            <w:tcW w:w="499" w:type="dxa"/>
            <w:vMerge w:val="restart"/>
            <w:tcBorders>
              <w:top w:val="single" w:sz="4" w:space="0" w:color="000000"/>
              <w:start w:val="single" w:sz="4" w:space="0" w:color="000000"/>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xml:space="preserve">№ </w:t>
            </w:r>
            <w:r>
              <w:rPr>
                <w:rFonts w:ascii="Liberation Serif" w:hAnsi="Liberation Serif"/>
                <w:b/>
                <w:bCs/>
                <w:sz w:val="24"/>
                <w:szCs w:val="24"/>
              </w:rPr>
              <w:t>п/п</w:t>
            </w:r>
          </w:p>
        </w:tc>
        <w:tc>
          <w:tcPr>
            <w:tcW w:w="1544" w:type="dxa"/>
            <w:vMerge w:val="restart"/>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Наименование МО</w:t>
            </w:r>
          </w:p>
        </w:tc>
        <w:tc>
          <w:tcPr>
            <w:tcW w:w="1984" w:type="dxa"/>
            <w:vMerge w:val="restart"/>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Наименование организации (формирования), юр. адрес, телефон</w:t>
            </w:r>
          </w:p>
        </w:tc>
        <w:tc>
          <w:tcPr>
            <w:tcW w:w="1524" w:type="dxa"/>
            <w:vMerge w:val="restart"/>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Руководитель организации</w:t>
            </w:r>
          </w:p>
        </w:tc>
        <w:tc>
          <w:tcPr>
            <w:tcW w:w="829" w:type="dxa"/>
            <w:vMerge w:val="restart"/>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Кол-во бригад</w:t>
            </w:r>
          </w:p>
        </w:tc>
        <w:tc>
          <w:tcPr>
            <w:tcW w:w="835" w:type="dxa"/>
            <w:vMerge w:val="restart"/>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Кол-во специа листов</w:t>
            </w:r>
          </w:p>
        </w:tc>
        <w:tc>
          <w:tcPr>
            <w:tcW w:w="7383" w:type="dxa"/>
            <w:gridSpan w:val="6"/>
            <w:tcBorders>
              <w:top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Планируемое количество техники *</w:t>
            </w:r>
          </w:p>
        </w:tc>
      </w:tr>
      <w:tr>
        <w:trPr>
          <w:trHeight w:val="288" w:hRule="atLeast"/>
        </w:trPr>
        <w:tc>
          <w:tcPr>
            <w:tcW w:w="49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54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98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52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82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83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2273" w:type="dxa"/>
            <w:gridSpan w:val="2"/>
            <w:tcBorders>
              <w:top w:val="single" w:sz="4" w:space="0" w:color="000000"/>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Автомобильной *</w:t>
            </w:r>
          </w:p>
        </w:tc>
        <w:tc>
          <w:tcPr>
            <w:tcW w:w="2806" w:type="dxa"/>
            <w:gridSpan w:val="2"/>
            <w:tcBorders>
              <w:top w:val="single" w:sz="4" w:space="0" w:color="000000"/>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Инженерной *</w:t>
            </w:r>
          </w:p>
        </w:tc>
        <w:tc>
          <w:tcPr>
            <w:tcW w:w="2304" w:type="dxa"/>
            <w:gridSpan w:val="2"/>
            <w:tcBorders>
              <w:top w:val="single" w:sz="4" w:space="0" w:color="000000"/>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Специальной *</w:t>
            </w:r>
          </w:p>
        </w:tc>
      </w:tr>
      <w:tr>
        <w:trPr>
          <w:trHeight w:val="390" w:hRule="atLeast"/>
        </w:trPr>
        <w:tc>
          <w:tcPr>
            <w:tcW w:w="49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54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98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52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82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83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ind w:hanging="0"/>
              <w:jc w:val="start"/>
              <w:rPr>
                <w:rFonts w:ascii="Liberation Serif" w:hAnsi="Liberation Serif"/>
                <w:b/>
                <w:bCs/>
                <w:sz w:val="24"/>
                <w:szCs w:val="24"/>
              </w:rPr>
            </w:pPr>
            <w:r>
              <w:rPr>
                <w:rFonts w:ascii="Liberation Serif" w:hAnsi="Liberation Serif"/>
                <w:b/>
                <w:bCs/>
                <w:sz w:val="24"/>
                <w:szCs w:val="24"/>
              </w:rPr>
            </w:r>
          </w:p>
        </w:tc>
        <w:tc>
          <w:tcPr>
            <w:tcW w:w="1543"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марка</w:t>
            </w:r>
          </w:p>
        </w:tc>
        <w:tc>
          <w:tcPr>
            <w:tcW w:w="730"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кол-во</w:t>
            </w:r>
          </w:p>
        </w:tc>
        <w:tc>
          <w:tcPr>
            <w:tcW w:w="1984"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марка</w:t>
            </w:r>
          </w:p>
        </w:tc>
        <w:tc>
          <w:tcPr>
            <w:tcW w:w="822"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кол-во</w:t>
            </w:r>
          </w:p>
        </w:tc>
        <w:tc>
          <w:tcPr>
            <w:tcW w:w="1696"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марка</w:t>
            </w:r>
          </w:p>
        </w:tc>
        <w:tc>
          <w:tcPr>
            <w:tcW w:w="608"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кол-во</w:t>
            </w:r>
          </w:p>
        </w:tc>
      </w:tr>
      <w:tr>
        <w:trPr>
          <w:trHeight w:val="300" w:hRule="atLeast"/>
        </w:trPr>
        <w:tc>
          <w:tcPr>
            <w:tcW w:w="499" w:type="dxa"/>
            <w:tcBorders>
              <w:start w:val="single" w:sz="4" w:space="0" w:color="000000"/>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1</w:t>
            </w:r>
          </w:p>
        </w:tc>
        <w:tc>
          <w:tcPr>
            <w:tcW w:w="1544" w:type="dxa"/>
            <w:tcBorders>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2</w:t>
            </w:r>
          </w:p>
        </w:tc>
        <w:tc>
          <w:tcPr>
            <w:tcW w:w="1984" w:type="dxa"/>
            <w:tcBorders>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3</w:t>
            </w:r>
          </w:p>
        </w:tc>
        <w:tc>
          <w:tcPr>
            <w:tcW w:w="1524" w:type="dxa"/>
            <w:tcBorders>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4</w:t>
            </w:r>
          </w:p>
        </w:tc>
        <w:tc>
          <w:tcPr>
            <w:tcW w:w="829" w:type="dxa"/>
            <w:tcBorders>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5</w:t>
            </w:r>
          </w:p>
        </w:tc>
        <w:tc>
          <w:tcPr>
            <w:tcW w:w="835" w:type="dxa"/>
            <w:tcBorders>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6</w:t>
            </w:r>
          </w:p>
        </w:tc>
        <w:tc>
          <w:tcPr>
            <w:tcW w:w="1543"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7</w:t>
            </w:r>
          </w:p>
        </w:tc>
        <w:tc>
          <w:tcPr>
            <w:tcW w:w="730"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8</w:t>
            </w:r>
          </w:p>
        </w:tc>
        <w:tc>
          <w:tcPr>
            <w:tcW w:w="1984"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9</w:t>
            </w:r>
          </w:p>
        </w:tc>
        <w:tc>
          <w:tcPr>
            <w:tcW w:w="822"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10</w:t>
            </w:r>
          </w:p>
        </w:tc>
        <w:tc>
          <w:tcPr>
            <w:tcW w:w="1696"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11</w:t>
            </w:r>
          </w:p>
        </w:tc>
        <w:tc>
          <w:tcPr>
            <w:tcW w:w="608" w:type="dxa"/>
            <w:tcBorders>
              <w:bottom w:val="single" w:sz="4" w:space="0" w:color="000000"/>
              <w:end w:val="single" w:sz="4" w:space="0" w:color="000000"/>
            </w:tcBorders>
            <w:shd w:color="000000" w:fill="FFFFFF"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12</w:t>
            </w:r>
          </w:p>
        </w:tc>
      </w:tr>
      <w:tr>
        <w:trPr>
          <w:trHeight w:val="255" w:hRule="atLeast"/>
        </w:trPr>
        <w:tc>
          <w:tcPr>
            <w:tcW w:w="14598" w:type="dxa"/>
            <w:gridSpan w:val="12"/>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Для ликвидации аварий на водопроводных и канализационных сетях</w:t>
            </w:r>
          </w:p>
        </w:tc>
      </w:tr>
      <w:tr>
        <w:trPr>
          <w:trHeight w:val="756" w:hRule="atLeast"/>
        </w:trPr>
        <w:tc>
          <w:tcPr>
            <w:tcW w:w="499" w:type="dxa"/>
            <w:tcBorders>
              <w:start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1544" w:type="dxa"/>
            <w:tcBorders>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Тугулымский МО</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xml:space="preserve">МУП "УЖКХ и АТ ТМО", п.г.т. Тугулым, ул. Гагарина, д.2, 8(343)227-10-60 </w:t>
            </w:r>
          </w:p>
        </w:tc>
        <w:tc>
          <w:tcPr>
            <w:tcW w:w="152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Хандорин Андрей Николаевич</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9</w:t>
            </w:r>
          </w:p>
        </w:tc>
        <w:tc>
          <w:tcPr>
            <w:tcW w:w="1543"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УАЗ</w:t>
            </w:r>
          </w:p>
        </w:tc>
        <w:tc>
          <w:tcPr>
            <w:tcW w:w="730"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xml:space="preserve">Экскаватор </w:t>
            </w:r>
            <w:r>
              <w:rPr>
                <w:rFonts w:ascii="Liberation Serif" w:hAnsi="Liberation Serif"/>
                <w:sz w:val="24"/>
                <w:szCs w:val="24"/>
                <w:lang w:val="en-US"/>
              </w:rPr>
              <w:t>ELAZ</w:t>
            </w:r>
          </w:p>
        </w:tc>
        <w:tc>
          <w:tcPr>
            <w:tcW w:w="822"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1696"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ГАЗон "NEXT"</w:t>
            </w:r>
          </w:p>
        </w:tc>
        <w:tc>
          <w:tcPr>
            <w:tcW w:w="608"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r>
      <w:tr>
        <w:trPr>
          <w:trHeight w:val="255" w:hRule="atLeast"/>
        </w:trPr>
        <w:tc>
          <w:tcPr>
            <w:tcW w:w="499" w:type="dxa"/>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1544" w:type="dxa"/>
            <w:tcBorders>
              <w:top w:val="single" w:sz="4" w:space="0" w:color="000000"/>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ИТОГО</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152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3</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9</w:t>
            </w:r>
          </w:p>
        </w:tc>
        <w:tc>
          <w:tcPr>
            <w:tcW w:w="1543"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730"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lang w:val="en-US"/>
              </w:rPr>
              <w:t>3</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822"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lang w:val="en-US"/>
              </w:rPr>
              <w:t>1</w:t>
            </w:r>
          </w:p>
        </w:tc>
        <w:tc>
          <w:tcPr>
            <w:tcW w:w="1696"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608"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1</w:t>
            </w:r>
          </w:p>
        </w:tc>
      </w:tr>
      <w:tr>
        <w:trPr>
          <w:trHeight w:val="255" w:hRule="atLeast"/>
        </w:trPr>
        <w:tc>
          <w:tcPr>
            <w:tcW w:w="14598" w:type="dxa"/>
            <w:gridSpan w:val="12"/>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Для ликвидации аварий на сетях электроснабжения</w:t>
            </w:r>
          </w:p>
        </w:tc>
      </w:tr>
      <w:tr>
        <w:trPr>
          <w:trHeight w:val="804" w:hRule="atLeast"/>
        </w:trPr>
        <w:tc>
          <w:tcPr>
            <w:tcW w:w="499" w:type="dxa"/>
            <w:vMerge w:val="restart"/>
            <w:tcBorders>
              <w:start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1544" w:type="dxa"/>
            <w:vMerge w:val="restart"/>
            <w:tcBorders>
              <w:start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Тугулымский МО</w:t>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ПАО "Россети Урал", п.г.т. Тугулым, ул. Советская, д. 69, 8(34367) 2-25-10</w:t>
            </w:r>
          </w:p>
        </w:tc>
        <w:tc>
          <w:tcPr>
            <w:tcW w:w="152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Зверовщиков Дмитрий Владимирович</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4</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12</w:t>
            </w:r>
          </w:p>
        </w:tc>
        <w:tc>
          <w:tcPr>
            <w:tcW w:w="1543"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УАЗ</w:t>
            </w:r>
          </w:p>
        </w:tc>
        <w:tc>
          <w:tcPr>
            <w:tcW w:w="730"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2</w:t>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xml:space="preserve">ГАЗ-27527, </w:t>
            </w:r>
          </w:p>
          <w:p>
            <w:pPr>
              <w:pStyle w:val="Normal"/>
              <w:spacing w:lineRule="auto" w:line="240"/>
              <w:ind w:hanging="0"/>
              <w:jc w:val="center"/>
              <w:rPr>
                <w:rFonts w:ascii="Liberation Serif" w:hAnsi="Liberation Serif"/>
                <w:sz w:val="24"/>
                <w:szCs w:val="24"/>
              </w:rPr>
            </w:pPr>
            <w:r>
              <w:rPr>
                <w:rFonts w:ascii="Liberation Serif" w:hAnsi="Liberation Serif"/>
                <w:sz w:val="24"/>
                <w:szCs w:val="24"/>
              </w:rPr>
              <w:t>ГАЗ- 27528</w:t>
            </w:r>
          </w:p>
        </w:tc>
        <w:tc>
          <w:tcPr>
            <w:tcW w:w="822"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2</w:t>
            </w:r>
          </w:p>
        </w:tc>
        <w:tc>
          <w:tcPr>
            <w:tcW w:w="1696" w:type="dxa"/>
            <w:tcBorders>
              <w:bottom w:val="single" w:sz="4" w:space="0" w:color="000000"/>
              <w:end w:val="single" w:sz="4" w:space="0" w:color="000000"/>
            </w:tcBorders>
            <w:shd w:color="auto" w:fill="auto" w:val="clear"/>
            <w:vAlign w:val="bottom"/>
          </w:tcPr>
          <w:p>
            <w:pPr>
              <w:pStyle w:val="Normal"/>
              <w:spacing w:lineRule="auto" w:line="240"/>
              <w:ind w:hanging="0"/>
              <w:jc w:val="start"/>
              <w:rPr>
                <w:rFonts w:ascii="Liberation Serif" w:hAnsi="Liberation Serif"/>
                <w:sz w:val="24"/>
                <w:szCs w:val="24"/>
              </w:rPr>
            </w:pPr>
            <w:r>
              <w:rPr>
                <w:rFonts w:ascii="Liberation Serif" w:hAnsi="Liberation Serif"/>
                <w:sz w:val="24"/>
                <w:szCs w:val="24"/>
              </w:rPr>
              <w:t>БКМ-317-01</w:t>
            </w:r>
          </w:p>
          <w:p>
            <w:pPr>
              <w:pStyle w:val="Normal"/>
              <w:spacing w:lineRule="auto" w:line="240"/>
              <w:ind w:hanging="0"/>
              <w:jc w:val="start"/>
              <w:rPr>
                <w:rFonts w:ascii="Liberation Serif" w:hAnsi="Liberation Serif"/>
                <w:sz w:val="24"/>
                <w:szCs w:val="24"/>
              </w:rPr>
            </w:pPr>
            <w:r>
              <w:rPr>
                <w:rFonts w:ascii="Liberation Serif" w:hAnsi="Liberation Serif"/>
                <w:sz w:val="24"/>
                <w:szCs w:val="24"/>
              </w:rPr>
              <w:t>Трактор Беларус 82.1,</w:t>
            </w:r>
          </w:p>
          <w:p>
            <w:pPr>
              <w:pStyle w:val="Normal"/>
              <w:spacing w:lineRule="auto" w:line="240"/>
              <w:ind w:hanging="0"/>
              <w:jc w:val="start"/>
              <w:rPr>
                <w:rFonts w:ascii="Liberation Serif" w:hAnsi="Liberation Serif"/>
                <w:sz w:val="24"/>
                <w:szCs w:val="24"/>
              </w:rPr>
            </w:pPr>
            <w:r>
              <w:rPr>
                <w:rFonts w:ascii="Liberation Serif" w:hAnsi="Liberation Serif"/>
                <w:sz w:val="24"/>
                <w:szCs w:val="24"/>
              </w:rPr>
              <w:t>Камаз-5328ВY</w:t>
            </w:r>
          </w:p>
        </w:tc>
        <w:tc>
          <w:tcPr>
            <w:tcW w:w="608" w:type="dxa"/>
            <w:tcBorders>
              <w:bottom w:val="single" w:sz="4" w:space="0" w:color="000000"/>
              <w:end w:val="single" w:sz="4" w:space="0" w:color="000000"/>
            </w:tcBorders>
            <w:shd w:color="auto" w:fill="auto" w:val="clear"/>
            <w:vAlign w:val="bottom"/>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r>
      <w:tr>
        <w:trPr>
          <w:trHeight w:val="984" w:hRule="atLeast"/>
        </w:trPr>
        <w:tc>
          <w:tcPr>
            <w:tcW w:w="499" w:type="dxa"/>
            <w:vMerge w:val="continue"/>
            <w:tcBorders>
              <w:start w:val="single" w:sz="4" w:space="0" w:color="000000"/>
              <w:end w:val="single" w:sz="4" w:space="0" w:color="000000"/>
            </w:tcBorders>
            <w:vAlign w:val="center"/>
          </w:tcPr>
          <w:p>
            <w:pPr>
              <w:pStyle w:val="Normal"/>
              <w:spacing w:lineRule="auto" w:line="240"/>
              <w:ind w:hanging="0"/>
              <w:jc w:val="start"/>
              <w:rPr>
                <w:rFonts w:ascii="Liberation Serif" w:hAnsi="Liberation Serif"/>
                <w:sz w:val="24"/>
                <w:szCs w:val="24"/>
              </w:rPr>
            </w:pPr>
            <w:r>
              <w:rPr>
                <w:rFonts w:ascii="Liberation Serif" w:hAnsi="Liberation Serif"/>
                <w:sz w:val="24"/>
                <w:szCs w:val="24"/>
              </w:rPr>
            </w:r>
          </w:p>
        </w:tc>
        <w:tc>
          <w:tcPr>
            <w:tcW w:w="1544" w:type="dxa"/>
            <w:vMerge w:val="continue"/>
            <w:tcBorders>
              <w:start w:val="single" w:sz="4" w:space="0" w:color="000000"/>
              <w:end w:val="single" w:sz="4" w:space="0" w:color="000000"/>
            </w:tcBorders>
            <w:vAlign w:val="center"/>
          </w:tcPr>
          <w:p>
            <w:pPr>
              <w:pStyle w:val="Normal"/>
              <w:spacing w:lineRule="auto" w:line="240"/>
              <w:ind w:hanging="0"/>
              <w:jc w:val="start"/>
              <w:rPr>
                <w:rFonts w:ascii="Liberation Serif" w:hAnsi="Liberation Serif"/>
                <w:sz w:val="24"/>
                <w:szCs w:val="24"/>
              </w:rPr>
            </w:pPr>
            <w:r>
              <w:rPr>
                <w:rFonts w:ascii="Liberation Serif" w:hAnsi="Liberation Serif"/>
                <w:sz w:val="24"/>
                <w:szCs w:val="24"/>
              </w:rPr>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АО "Облкоммунэнерго", п.г.т. Тугулым, ул. Октябрьская, д.6, 8(34367) 2-26-61</w:t>
            </w:r>
          </w:p>
        </w:tc>
        <w:tc>
          <w:tcPr>
            <w:tcW w:w="152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Журавлев Андрей Александрович</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4</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10</w:t>
            </w:r>
          </w:p>
        </w:tc>
        <w:tc>
          <w:tcPr>
            <w:tcW w:w="1543" w:type="dxa"/>
            <w:tcBorders>
              <w:bottom w:val="single" w:sz="4" w:space="0" w:color="000000"/>
              <w:end w:val="single" w:sz="4" w:space="0" w:color="000000"/>
            </w:tcBorders>
            <w:shd w:color="auto" w:fill="auto" w:val="clear"/>
          </w:tcPr>
          <w:p>
            <w:pPr>
              <w:pStyle w:val="Normal"/>
              <w:spacing w:lineRule="auto" w:line="240"/>
              <w:ind w:hanging="0"/>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УАЗ-390995</w:t>
            </w:r>
          </w:p>
        </w:tc>
        <w:tc>
          <w:tcPr>
            <w:tcW w:w="730"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lang w:val="en-US"/>
              </w:rPr>
            </w:pPr>
            <w:r>
              <w:rPr>
                <w:rFonts w:ascii="Liberation Serif" w:hAnsi="Liberation Serif"/>
                <w:sz w:val="24"/>
                <w:szCs w:val="24"/>
                <w:lang w:val="en-US"/>
              </w:rPr>
            </w:r>
          </w:p>
        </w:tc>
        <w:tc>
          <w:tcPr>
            <w:tcW w:w="822"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0</w:t>
            </w:r>
          </w:p>
        </w:tc>
        <w:tc>
          <w:tcPr>
            <w:tcW w:w="1696" w:type="dxa"/>
            <w:tcBorders>
              <w:bottom w:val="single" w:sz="4" w:space="0" w:color="000000"/>
              <w:end w:val="single" w:sz="4" w:space="0" w:color="000000"/>
            </w:tcBorders>
            <w:shd w:color="auto" w:fill="auto" w:val="clear"/>
            <w:vAlign w:val="bottom"/>
          </w:tcPr>
          <w:p>
            <w:pPr>
              <w:pStyle w:val="Normal"/>
              <w:spacing w:lineRule="auto" w:line="240"/>
              <w:ind w:hanging="0"/>
              <w:jc w:val="start"/>
              <w:rPr>
                <w:rFonts w:ascii="Liberation Serif" w:hAnsi="Liberation Serif"/>
                <w:sz w:val="24"/>
                <w:szCs w:val="24"/>
              </w:rPr>
            </w:pPr>
            <w:r>
              <w:rPr>
                <w:rFonts w:ascii="Liberation Serif" w:hAnsi="Liberation Serif"/>
                <w:sz w:val="24"/>
                <w:szCs w:val="24"/>
              </w:rPr>
              <w:t>Автоподьемник  ПСС-131.17Э294630 , бурильно-крановая машина БМ-205Д.</w:t>
            </w:r>
          </w:p>
          <w:p>
            <w:pPr>
              <w:pStyle w:val="Normal"/>
              <w:spacing w:lineRule="auto" w:line="240"/>
              <w:ind w:hanging="0"/>
              <w:jc w:val="start"/>
              <w:rPr>
                <w:rFonts w:ascii="Liberation Serif" w:hAnsi="Liberation Serif"/>
                <w:sz w:val="24"/>
                <w:szCs w:val="24"/>
              </w:rPr>
            </w:pPr>
            <w:r>
              <w:rPr>
                <w:rFonts w:ascii="Liberation Serif" w:hAnsi="Liberation Serif"/>
                <w:sz w:val="24"/>
                <w:szCs w:val="24"/>
              </w:rPr>
            </w:r>
          </w:p>
        </w:tc>
        <w:tc>
          <w:tcPr>
            <w:tcW w:w="608"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2</w:t>
            </w:r>
          </w:p>
        </w:tc>
      </w:tr>
      <w:tr>
        <w:trPr>
          <w:trHeight w:val="255" w:hRule="atLeast"/>
        </w:trPr>
        <w:tc>
          <w:tcPr>
            <w:tcW w:w="499" w:type="dxa"/>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1544" w:type="dxa"/>
            <w:tcBorders>
              <w:top w:val="single" w:sz="4" w:space="0" w:color="000000"/>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ИТОГО</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152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8</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22</w:t>
            </w:r>
          </w:p>
        </w:tc>
        <w:tc>
          <w:tcPr>
            <w:tcW w:w="1543"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730"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5</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822"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2</w:t>
            </w:r>
          </w:p>
        </w:tc>
        <w:tc>
          <w:tcPr>
            <w:tcW w:w="1696"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608"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5</w:t>
            </w:r>
          </w:p>
        </w:tc>
      </w:tr>
      <w:tr>
        <w:trPr>
          <w:trHeight w:val="255" w:hRule="atLeast"/>
        </w:trPr>
        <w:tc>
          <w:tcPr>
            <w:tcW w:w="14598" w:type="dxa"/>
            <w:gridSpan w:val="12"/>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xml:space="preserve">Для ликвидации аварий на тепловых сетях </w:t>
            </w:r>
          </w:p>
        </w:tc>
      </w:tr>
      <w:tr>
        <w:trPr>
          <w:trHeight w:val="768" w:hRule="atLeast"/>
        </w:trPr>
        <w:tc>
          <w:tcPr>
            <w:tcW w:w="499" w:type="dxa"/>
            <w:vMerge w:val="restart"/>
            <w:tcBorders>
              <w:start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1544" w:type="dxa"/>
            <w:vMerge w:val="restart"/>
            <w:tcBorders>
              <w:start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Тугулымский МО</w:t>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ООО "ЮТЭК", п. Юшала, ул. Садовая, д. 40, 8(34367)4-10-28</w:t>
            </w:r>
          </w:p>
        </w:tc>
        <w:tc>
          <w:tcPr>
            <w:tcW w:w="152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Бузырев Владимир Александрович</w:t>
            </w:r>
          </w:p>
        </w:tc>
        <w:tc>
          <w:tcPr>
            <w:tcW w:w="829"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835"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1543"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УАЗ, Лада Ларгус</w:t>
            </w:r>
          </w:p>
        </w:tc>
        <w:tc>
          <w:tcPr>
            <w:tcW w:w="730"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2</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w:t>
            </w:r>
          </w:p>
        </w:tc>
        <w:tc>
          <w:tcPr>
            <w:tcW w:w="822"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0</w:t>
            </w:r>
          </w:p>
        </w:tc>
        <w:tc>
          <w:tcPr>
            <w:tcW w:w="1696"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Урал 4320, трактор МТЗ-82, бульдозер Т-130, трактор к-701</w:t>
            </w:r>
          </w:p>
        </w:tc>
        <w:tc>
          <w:tcPr>
            <w:tcW w:w="608"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4</w:t>
            </w:r>
          </w:p>
        </w:tc>
      </w:tr>
      <w:tr>
        <w:trPr>
          <w:trHeight w:val="720" w:hRule="atLeast"/>
        </w:trPr>
        <w:tc>
          <w:tcPr>
            <w:tcW w:w="499" w:type="dxa"/>
            <w:vMerge w:val="continue"/>
            <w:tcBorders>
              <w:start w:val="single" w:sz="4" w:space="0" w:color="000000"/>
              <w:end w:val="single" w:sz="4" w:space="0" w:color="000000"/>
            </w:tcBorders>
            <w:vAlign w:val="center"/>
          </w:tcPr>
          <w:p>
            <w:pPr>
              <w:pStyle w:val="Normal"/>
              <w:spacing w:lineRule="auto" w:line="240"/>
              <w:ind w:hanging="0"/>
              <w:jc w:val="start"/>
              <w:rPr>
                <w:rFonts w:ascii="Liberation Serif" w:hAnsi="Liberation Serif"/>
                <w:sz w:val="24"/>
                <w:szCs w:val="24"/>
              </w:rPr>
            </w:pPr>
            <w:r>
              <w:rPr>
                <w:rFonts w:ascii="Liberation Serif" w:hAnsi="Liberation Serif"/>
                <w:sz w:val="24"/>
                <w:szCs w:val="24"/>
              </w:rPr>
            </w:r>
          </w:p>
        </w:tc>
        <w:tc>
          <w:tcPr>
            <w:tcW w:w="1544" w:type="dxa"/>
            <w:vMerge w:val="continue"/>
            <w:tcBorders>
              <w:start w:val="single" w:sz="4" w:space="0" w:color="000000"/>
              <w:end w:val="single" w:sz="4" w:space="0" w:color="000000"/>
            </w:tcBorders>
            <w:vAlign w:val="center"/>
          </w:tcPr>
          <w:p>
            <w:pPr>
              <w:pStyle w:val="Normal"/>
              <w:spacing w:lineRule="auto" w:line="240"/>
              <w:ind w:hanging="0"/>
              <w:jc w:val="start"/>
              <w:rPr>
                <w:rFonts w:ascii="Liberation Serif" w:hAnsi="Liberation Serif"/>
                <w:sz w:val="24"/>
                <w:szCs w:val="24"/>
              </w:rPr>
            </w:pPr>
            <w:r>
              <w:rPr>
                <w:rFonts w:ascii="Liberation Serif" w:hAnsi="Liberation Serif"/>
                <w:sz w:val="24"/>
                <w:szCs w:val="24"/>
              </w:rPr>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АО "ОТСК", п.г.т. Тугулым, ул. Октярбская, д.6, 8(34367)2-26-61</w:t>
            </w:r>
          </w:p>
        </w:tc>
        <w:tc>
          <w:tcPr>
            <w:tcW w:w="152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Куроптев Александр Владимирович</w:t>
            </w:r>
          </w:p>
        </w:tc>
        <w:tc>
          <w:tcPr>
            <w:tcW w:w="829"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835"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7</w:t>
            </w:r>
          </w:p>
        </w:tc>
        <w:tc>
          <w:tcPr>
            <w:tcW w:w="1543"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УАЗ-390995-04</w:t>
            </w:r>
          </w:p>
        </w:tc>
        <w:tc>
          <w:tcPr>
            <w:tcW w:w="730"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1984"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xml:space="preserve">экскаватор JSB 3Х, ГАЗ-2302 АРТКМ, </w:t>
            </w:r>
          </w:p>
          <w:p>
            <w:pPr>
              <w:pStyle w:val="Normal"/>
              <w:spacing w:lineRule="auto" w:line="240"/>
              <w:ind w:hanging="0"/>
              <w:jc w:val="center"/>
              <w:rPr>
                <w:rFonts w:ascii="Liberation Serif" w:hAnsi="Liberation Serif"/>
                <w:sz w:val="24"/>
                <w:szCs w:val="24"/>
              </w:rPr>
            </w:pPr>
            <w:r>
              <w:rPr>
                <w:rFonts w:ascii="Liberation Serif" w:hAnsi="Liberation Serif"/>
                <w:sz w:val="24"/>
                <w:szCs w:val="24"/>
              </w:rPr>
              <w:t>МТЗ-82.1</w:t>
            </w:r>
          </w:p>
        </w:tc>
        <w:tc>
          <w:tcPr>
            <w:tcW w:w="822"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1696"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w:t>
            </w:r>
            <w:r>
              <w:rPr>
                <w:rFonts w:ascii="Liberation Serif" w:hAnsi="Liberation Serif"/>
                <w:sz w:val="24"/>
                <w:szCs w:val="24"/>
              </w:rPr>
              <w:t>КАМАЗ КМА-65115</w:t>
            </w:r>
          </w:p>
        </w:tc>
        <w:tc>
          <w:tcPr>
            <w:tcW w:w="608" w:type="dxa"/>
            <w:tcBorders>
              <w:bottom w:val="single" w:sz="4" w:space="0" w:color="000000"/>
              <w:end w:val="single" w:sz="4" w:space="0" w:color="000000"/>
            </w:tcBorders>
            <w:shd w:color="auto" w:fill="auto"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w:t>
            </w:r>
            <w:r>
              <w:rPr>
                <w:rFonts w:ascii="Liberation Serif" w:hAnsi="Liberation Serif"/>
                <w:sz w:val="24"/>
                <w:szCs w:val="24"/>
              </w:rPr>
              <w:t>1</w:t>
            </w:r>
          </w:p>
        </w:tc>
      </w:tr>
      <w:tr>
        <w:trPr>
          <w:trHeight w:val="255" w:hRule="atLeast"/>
        </w:trPr>
        <w:tc>
          <w:tcPr>
            <w:tcW w:w="499" w:type="dxa"/>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2</w:t>
            </w:r>
          </w:p>
        </w:tc>
        <w:tc>
          <w:tcPr>
            <w:tcW w:w="1544" w:type="dxa"/>
            <w:tcBorders>
              <w:top w:val="single" w:sz="4" w:space="0" w:color="000000"/>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Тугулымский МО</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xml:space="preserve">МУП "УЖКХ и АТ ТМО", п.г.т. Тугулым, ул. Гагарина, д.2, 8(343)227-10-60 </w:t>
            </w:r>
          </w:p>
        </w:tc>
        <w:tc>
          <w:tcPr>
            <w:tcW w:w="152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Хандорин Андрей Николаевич</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9</w:t>
            </w:r>
          </w:p>
        </w:tc>
        <w:tc>
          <w:tcPr>
            <w:tcW w:w="1543"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УАЗ</w:t>
            </w:r>
          </w:p>
        </w:tc>
        <w:tc>
          <w:tcPr>
            <w:tcW w:w="730"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3</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 xml:space="preserve">Экскаватор </w:t>
            </w:r>
            <w:r>
              <w:rPr>
                <w:rFonts w:ascii="Liberation Serif" w:hAnsi="Liberation Serif"/>
                <w:sz w:val="24"/>
                <w:szCs w:val="24"/>
                <w:lang w:val="en-US"/>
              </w:rPr>
              <w:t>ELAZ</w:t>
            </w:r>
          </w:p>
        </w:tc>
        <w:tc>
          <w:tcPr>
            <w:tcW w:w="822"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c>
          <w:tcPr>
            <w:tcW w:w="1696"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ГАЗон "NEXT"</w:t>
            </w:r>
          </w:p>
        </w:tc>
        <w:tc>
          <w:tcPr>
            <w:tcW w:w="608"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sz w:val="24"/>
                <w:szCs w:val="24"/>
              </w:rPr>
              <w:t>1</w:t>
            </w:r>
          </w:p>
        </w:tc>
      </w:tr>
      <w:tr>
        <w:trPr>
          <w:trHeight w:val="255" w:hRule="atLeast"/>
        </w:trPr>
        <w:tc>
          <w:tcPr>
            <w:tcW w:w="499" w:type="dxa"/>
            <w:tcBorders>
              <w:top w:val="single" w:sz="4" w:space="0" w:color="000000"/>
              <w:start w:val="single" w:sz="4" w:space="0" w:color="000000"/>
              <w:bottom w:val="single" w:sz="4" w:space="0" w:color="000000"/>
              <w:end w:val="single" w:sz="4" w:space="0" w:color="000000"/>
            </w:tcBorders>
            <w:shd w:color="000000" w:fill="FFFFFF" w:val="clear"/>
            <w:vAlign w:val="cente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1544" w:type="dxa"/>
            <w:tcBorders>
              <w:top w:val="single" w:sz="4" w:space="0" w:color="000000"/>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ИТОГО</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152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829"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2</w:t>
            </w:r>
          </w:p>
        </w:tc>
        <w:tc>
          <w:tcPr>
            <w:tcW w:w="835"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10</w:t>
            </w:r>
          </w:p>
        </w:tc>
        <w:tc>
          <w:tcPr>
            <w:tcW w:w="1543"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730"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3</w:t>
            </w:r>
          </w:p>
        </w:tc>
        <w:tc>
          <w:tcPr>
            <w:tcW w:w="1984"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822"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3</w:t>
            </w:r>
          </w:p>
        </w:tc>
        <w:tc>
          <w:tcPr>
            <w:tcW w:w="1696"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p>
        </w:tc>
        <w:tc>
          <w:tcPr>
            <w:tcW w:w="608" w:type="dxa"/>
            <w:tcBorders>
              <w:bottom w:val="single" w:sz="4" w:space="0" w:color="000000"/>
              <w:end w:val="single" w:sz="4" w:space="0" w:color="000000"/>
            </w:tcBorders>
            <w:shd w:color="000000" w:fill="FFFFFF" w:val="clear"/>
          </w:tcPr>
          <w:p>
            <w:pPr>
              <w:pStyle w:val="Normal"/>
              <w:spacing w:lineRule="auto" w:line="240"/>
              <w:ind w:hanging="0"/>
              <w:jc w:val="center"/>
              <w:rPr>
                <w:rFonts w:ascii="Liberation Serif" w:hAnsi="Liberation Serif"/>
                <w:sz w:val="24"/>
                <w:szCs w:val="24"/>
              </w:rPr>
            </w:pPr>
            <w:r>
              <w:rPr>
                <w:rFonts w:ascii="Liberation Serif" w:hAnsi="Liberation Serif"/>
                <w:b/>
                <w:bCs/>
                <w:sz w:val="24"/>
                <w:szCs w:val="24"/>
              </w:rPr>
              <w:t> </w:t>
            </w:r>
            <w:r>
              <w:rPr>
                <w:rFonts w:ascii="Liberation Serif" w:hAnsi="Liberation Serif"/>
                <w:b/>
                <w:bCs/>
                <w:sz w:val="24"/>
                <w:szCs w:val="24"/>
              </w:rPr>
              <w:t>5</w:t>
            </w:r>
          </w:p>
        </w:tc>
      </w:tr>
    </w:tbl>
    <w:p>
      <w:pPr>
        <w:pStyle w:val="Normal"/>
        <w:spacing w:lineRule="auto" w:line="240" w:before="0" w:after="0"/>
        <w:jc w:val="end"/>
        <w:rPr>
          <w:rFonts w:ascii="Liberation Serif" w:hAnsi="Liberation Serif"/>
          <w:sz w:val="24"/>
          <w:szCs w:val="24"/>
        </w:rPr>
        <w:sectPr>
          <w:headerReference w:type="even" r:id="rId20"/>
          <w:headerReference w:type="default" r:id="rId21"/>
          <w:headerReference w:type="first" r:id="rId22"/>
          <w:footerReference w:type="default" r:id="rId23"/>
          <w:footerReference w:type="first" r:id="rId24"/>
          <w:type w:val="nextPage"/>
          <w:pgSz w:orient="landscape" w:w="16838" w:h="11906"/>
          <w:pgMar w:left="1701" w:right="850" w:gutter="0" w:header="429" w:top="1134" w:footer="720" w:bottom="1134"/>
          <w:pgNumType w:fmt="decimal"/>
          <w:formProt w:val="false"/>
          <w:textDirection w:val="lrTb"/>
          <w:docGrid w:type="default" w:linePitch="100" w:charSpace="0"/>
        </w:sectPr>
      </w:pPr>
      <w:r>
        <w:rPr>
          <w:rFonts w:ascii="Liberation Serif" w:hAnsi="Liberation Serif"/>
          <w:sz w:val="24"/>
          <w:szCs w:val="24"/>
        </w:rPr>
        <w:t xml:space="preserve"> </w:t>
      </w:r>
    </w:p>
    <w:p>
      <w:pPr>
        <w:pStyle w:val="Normal"/>
        <w:jc w:val="end"/>
        <w:rPr>
          <w:rFonts w:ascii="Liberation Serif" w:hAnsi="Liberation Serif"/>
          <w:sz w:val="24"/>
          <w:szCs w:val="24"/>
        </w:rPr>
      </w:pPr>
      <w:r>
        <w:rPr>
          <w:rFonts w:cs="Times New Roman" w:ascii="Liberation Serif" w:hAnsi="Liberation Serif"/>
          <w:sz w:val="24"/>
          <w:szCs w:val="24"/>
        </w:rPr>
        <w:t>Приложение 4 - Схема организации взаимодействия при авариях в теплоснабжающих   организациях и на теплосетях</w:t>
      </w:r>
    </w:p>
    <w:p>
      <w:pPr>
        <w:pStyle w:val="Normal"/>
        <w:widowControl w:val="false"/>
        <w:spacing w:lineRule="auto" w:line="240"/>
        <w:ind w:hanging="0"/>
        <w:jc w:val="center"/>
        <w:rPr>
          <w:rFonts w:ascii="Liberation Serif" w:hAnsi="Liberation Serif"/>
          <w:sz w:val="24"/>
          <w:szCs w:val="24"/>
        </w:rPr>
      </w:pPr>
      <w:r>
        <w:rPr>
          <w:rFonts w:cs="Times New Roman" w:ascii="Liberation Serif" w:hAnsi="Liberation Serif"/>
          <w:b/>
          <w:sz w:val="24"/>
          <w:szCs w:val="24"/>
        </w:rPr>
        <w:t xml:space="preserve">Порядок организации взаимодействия </w:t>
      </w:r>
    </w:p>
    <w:p>
      <w:pPr>
        <w:pStyle w:val="Normal"/>
        <w:widowControl w:val="false"/>
        <w:spacing w:lineRule="auto" w:line="240"/>
        <w:ind w:hanging="0"/>
        <w:jc w:val="center"/>
        <w:rPr>
          <w:rFonts w:ascii="Liberation Serif" w:hAnsi="Liberation Serif"/>
          <w:sz w:val="24"/>
          <w:szCs w:val="24"/>
        </w:rPr>
      </w:pPr>
      <w:r>
        <w:rPr>
          <w:rFonts w:cs="Times New Roman" w:ascii="Liberation Serif" w:hAnsi="Liberation Serif"/>
          <w:b/>
          <w:sz w:val="24"/>
          <w:szCs w:val="24"/>
        </w:rPr>
        <w:t xml:space="preserve"> </w:t>
      </w:r>
      <w:r>
        <w:rPr>
          <w:rFonts w:cs="Times New Roman" w:ascii="Liberation Serif" w:hAnsi="Liberation Serif"/>
          <w:b/>
          <w:sz w:val="24"/>
          <w:szCs w:val="24"/>
        </w:rPr>
        <w:t>при авариях в теплоснабжающих организациях и на теплосетях Тугулымского муниципального округа</w:t>
      </w:r>
    </w:p>
    <w:p>
      <w:pPr>
        <w:pStyle w:val="Normal"/>
        <w:widowControl w:val="false"/>
        <w:spacing w:lineRule="auto" w:line="240"/>
        <w:ind w:hanging="0"/>
        <w:jc w:val="center"/>
        <w:rPr>
          <w:rFonts w:ascii="Liberation Serif" w:hAnsi="Liberation Serif" w:eastAsia="Times New Roman" w:cs="Times New Roman"/>
          <w:b/>
          <w:sz w:val="24"/>
          <w:szCs w:val="24"/>
        </w:rPr>
      </w:pPr>
      <w:r>
        <w:rPr>
          <w:rFonts w:eastAsia="Times New Roman" w:cs="Times New Roman" w:ascii="Liberation Serif" w:hAnsi="Liberation Serif"/>
          <w:b/>
          <w:sz w:val="24"/>
          <w:szCs w:val="24"/>
        </w:rPr>
        <mc:AlternateContent>
          <mc:Choice Requires="wps">
            <w:drawing>
              <wp:anchor behindDoc="0" distT="0" distB="14605" distL="0" distR="22860" simplePos="0" locked="0" layoutInCell="1" allowOverlap="1" relativeHeight="12" wp14:anchorId="354A56B8">
                <wp:simplePos x="0" y="0"/>
                <wp:positionH relativeFrom="column">
                  <wp:posOffset>7620</wp:posOffset>
                </wp:positionH>
                <wp:positionV relativeFrom="paragraph">
                  <wp:posOffset>93980</wp:posOffset>
                </wp:positionV>
                <wp:extent cx="1367790" cy="499745"/>
                <wp:effectExtent l="5080" t="5715" r="5080" b="4445"/>
                <wp:wrapNone/>
                <wp:docPr id="11" name="Прямоугольник 98"/>
                <a:graphic xmlns:a="http://schemas.openxmlformats.org/drawingml/2006/main">
                  <a:graphicData uri="http://schemas.microsoft.com/office/word/2010/wordprocessingShape">
                    <wps:wsp>
                      <wps:cNvSpPr/>
                      <wps:spPr>
                        <a:xfrm>
                          <a:off x="0" y="0"/>
                          <a:ext cx="1367640" cy="49968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Информация об аварии</w:t>
                            </w:r>
                          </w:p>
                        </w:txbxContent>
                      </wps:txbx>
                      <wps:bodyPr anchor="t" upright="1">
                        <a:noAutofit/>
                      </wps:bodyPr>
                    </wps:wsp>
                  </a:graphicData>
                </a:graphic>
              </wp:anchor>
            </w:drawing>
          </mc:Choice>
          <mc:Fallback>
            <w:pict>
              <v:rect id="shape_0" fillcolor="white" stroked="t" o:allowincell="f" style="position:absolute;margin-left:0.6pt;margin-top:7.4pt;width:107.65pt;height:39.3pt;mso-wrap-style:square;v-text-anchor:top" wp14:anchorId="354A56B8">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Информация об аварии</w:t>
                      </w:r>
                    </w:p>
                  </w:txbxContent>
                </v:textbox>
                <w10:wrap type="none"/>
              </v:rect>
            </w:pict>
          </mc:Fallback>
        </mc:AlternateContent>
      </w:r>
    </w:p>
    <w:p>
      <w:pPr>
        <w:pStyle w:val="Normal"/>
        <w:widowControl w:val="false"/>
        <w:spacing w:lineRule="auto" w:line="240"/>
        <w:ind w:hanging="0"/>
        <w:jc w:val="center"/>
        <w:rPr>
          <w:rFonts w:ascii="Liberation Serif" w:hAnsi="Liberation Serif" w:eastAsia="Times New Roman" w:cs="Times New Roman"/>
          <w:b/>
          <w:sz w:val="24"/>
          <w:szCs w:val="24"/>
        </w:rPr>
      </w:pPr>
      <w:r>
        <w:rPr>
          <w:rFonts w:eastAsia="Times New Roman" w:cs="Times New Roman" w:ascii="Liberation Serif" w:hAnsi="Liberation Serif"/>
          <w:b/>
          <w:sz w:val="24"/>
          <w:szCs w:val="24"/>
        </w:rPr>
      </w:r>
    </w:p>
    <w:p>
      <w:pPr>
        <w:pStyle w:val="Normal"/>
        <w:widowControl w:val="false"/>
        <w:spacing w:lineRule="auto" w:line="240"/>
        <w:ind w:hanging="0"/>
        <w:jc w:val="center"/>
        <w:rPr>
          <w:rFonts w:ascii="Liberation Serif" w:hAnsi="Liberation Serif" w:eastAsia="Times New Roman" w:cs="Times New Roman"/>
          <w:b/>
          <w:sz w:val="24"/>
          <w:szCs w:val="24"/>
        </w:rPr>
      </w:pPr>
      <w:r>
        <w:rPr>
          <w:rFonts w:eastAsia="Times New Roman" w:cs="Times New Roman" w:ascii="Liberation Serif" w:hAnsi="Liberation Serif"/>
          <w:b/>
          <w:sz w:val="24"/>
          <w:szCs w:val="24"/>
        </w:rPr>
        <mc:AlternateContent>
          <mc:Choice Requires="wps">
            <w:drawing>
              <wp:anchor behindDoc="0" distT="8890" distB="5080" distL="5715" distR="13335" simplePos="0" locked="0" layoutInCell="1" allowOverlap="1" relativeHeight="17" wp14:anchorId="59B19BA8">
                <wp:simplePos x="0" y="0"/>
                <wp:positionH relativeFrom="column">
                  <wp:posOffset>5486400</wp:posOffset>
                </wp:positionH>
                <wp:positionV relativeFrom="paragraph">
                  <wp:posOffset>135890</wp:posOffset>
                </wp:positionV>
                <wp:extent cx="3543300" cy="595630"/>
                <wp:effectExtent l="5715" t="5715" r="5715" b="5715"/>
                <wp:wrapNone/>
                <wp:docPr id="12" name="Скругленный прямоугольник 97"/>
                <a:graphic xmlns:a="http://schemas.openxmlformats.org/drawingml/2006/main">
                  <a:graphicData uri="http://schemas.microsoft.com/office/word/2010/wordprocessingShape">
                    <wps:wsp>
                      <wps:cNvSpPr/>
                      <wps:spPr>
                        <a:xfrm>
                          <a:off x="0" y="0"/>
                          <a:ext cx="3543480" cy="59580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Определяет место и причину аварии, объем  аварийно-восстановительных работ, при необходимости  отключает поврежденный участок</w:t>
                            </w:r>
                          </w:p>
                        </w:txbxContent>
                      </wps:txbx>
                      <wps:bodyPr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432pt;margin-top:10.7pt;width:278.95pt;height:46.85pt;mso-wrap-style:square;v-text-anchor:top" wp14:anchorId="59B19BA8">
                <v:fill o:detectmouseclick="t" type="solid" color2="black"/>
                <v:stroke color="black" weight="9360" joinstyle="round"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Определяет место и причину аварии, объем  аварийно-восстановительных работ, при необходимости  отключает поврежденный участок</w:t>
                      </w:r>
                    </w:p>
                  </w:txbxContent>
                </v:textbox>
                <w10:wrap type="none"/>
              </v:roundrect>
            </w:pict>
          </mc:Fallback>
        </mc:AlternateContent>
      </w:r>
    </w:p>
    <w:p>
      <w:pPr>
        <w:pStyle w:val="Normal"/>
        <w:widowControl w:val="false"/>
        <w:spacing w:lineRule="auto" w:line="240"/>
        <w:ind w:hanging="0"/>
        <w:jc w:val="center"/>
        <w:rPr>
          <w:rFonts w:ascii="Liberation Serif" w:hAnsi="Liberation Serif" w:eastAsia="Times New Roman" w:cs="Times New Roman"/>
          <w:b/>
          <w:sz w:val="24"/>
          <w:szCs w:val="24"/>
        </w:rPr>
      </w:pPr>
      <w:r>
        <w:rPr>
          <w:rFonts w:eastAsia="Times New Roman" w:cs="Times New Roman" w:ascii="Liberation Serif" w:hAnsi="Liberation Serif"/>
          <w:b/>
          <w:sz w:val="24"/>
          <w:szCs w:val="24"/>
        </w:rPr>
        <mc:AlternateContent>
          <mc:Choice Requires="wps">
            <w:drawing>
              <wp:anchor behindDoc="0" distT="7620" distB="6350" distL="9525" distR="9525" simplePos="0" locked="0" layoutInCell="1" allowOverlap="1" relativeHeight="20" wp14:anchorId="0A42753C">
                <wp:simplePos x="0" y="0"/>
                <wp:positionH relativeFrom="column">
                  <wp:posOffset>1718310</wp:posOffset>
                </wp:positionH>
                <wp:positionV relativeFrom="paragraph">
                  <wp:posOffset>31115</wp:posOffset>
                </wp:positionV>
                <wp:extent cx="1371600" cy="595630"/>
                <wp:effectExtent l="5715" t="5715" r="5715" b="5715"/>
                <wp:wrapNone/>
                <wp:docPr id="13" name="Скругленный прямоугольник 95"/>
                <a:graphic xmlns:a="http://schemas.openxmlformats.org/drawingml/2006/main">
                  <a:graphicData uri="http://schemas.microsoft.com/office/word/2010/wordprocessingShape">
                    <wps:wsp>
                      <wps:cNvSpPr/>
                      <wps:spPr>
                        <a:xfrm>
                          <a:off x="0" y="0"/>
                          <a:ext cx="1371600" cy="59580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Направляет аварийную бригаду на место аварии</w:t>
                            </w:r>
                          </w:p>
                        </w:txbxContent>
                      </wps:txbx>
                      <wps:bodyPr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135.3pt;margin-top:2.45pt;width:107.95pt;height:46.85pt;mso-wrap-style:square;v-text-anchor:top" wp14:anchorId="0A42753C">
                <v:fill o:detectmouseclick="t" type="solid" color2="black"/>
                <v:stroke color="black" weight="9360" joinstyle="round"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Направляет аварийную бригаду на место аварии</w:t>
                      </w:r>
                    </w:p>
                  </w:txbxContent>
                </v:textbox>
                <w10:wrap type="none"/>
              </v:roundrect>
            </w:pict>
          </mc:Fallback>
        </mc:AlternateContent>
        <mc:AlternateContent>
          <mc:Choice Requires="wps">
            <w:drawing>
              <wp:anchor behindDoc="0" distT="13970" distB="5080" distL="5715" distR="13335" simplePos="0" locked="0" layoutInCell="1" allowOverlap="1" relativeHeight="22" wp14:anchorId="4EE390C0">
                <wp:simplePos x="0" y="0"/>
                <wp:positionH relativeFrom="column">
                  <wp:posOffset>3886200</wp:posOffset>
                </wp:positionH>
                <wp:positionV relativeFrom="paragraph">
                  <wp:posOffset>113665</wp:posOffset>
                </wp:positionV>
                <wp:extent cx="914400" cy="457200"/>
                <wp:effectExtent l="5080" t="5080" r="5080" b="5080"/>
                <wp:wrapNone/>
                <wp:docPr id="14" name="Прямоугольник 96"/>
                <a:graphic xmlns:a="http://schemas.openxmlformats.org/drawingml/2006/main">
                  <a:graphicData uri="http://schemas.microsoft.com/office/word/2010/wordprocessingShape">
                    <wps:wsp>
                      <wps:cNvSpPr/>
                      <wps:spPr>
                        <a:xfrm>
                          <a:off x="0" y="0"/>
                          <a:ext cx="914400" cy="45720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Аварийная бригада</w:t>
                            </w:r>
                          </w:p>
                        </w:txbxContent>
                      </wps:txbx>
                      <wps:bodyPr anchor="t" upright="1">
                        <a:noAutofit/>
                      </wps:bodyPr>
                    </wps:wsp>
                  </a:graphicData>
                </a:graphic>
              </wp:anchor>
            </w:drawing>
          </mc:Choice>
          <mc:Fallback>
            <w:pict>
              <v:rect id="shape_0" fillcolor="white" stroked="t" o:allowincell="f" style="position:absolute;margin-left:306pt;margin-top:8.95pt;width:71.95pt;height:35.95pt;mso-wrap-style:square;v-text-anchor:top" wp14:anchorId="4EE390C0">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Аварийная бригада</w:t>
                      </w:r>
                    </w:p>
                  </w:txbxContent>
                </v:textbox>
                <w10:wrap type="none"/>
              </v:rect>
            </w:pict>
          </mc:Fallback>
        </mc:AlternateContent>
        <mc:AlternateContent>
          <mc:Choice Requires="wps">
            <w:drawing>
              <wp:anchor behindDoc="0" distT="13970" distB="14605" distL="57150" distR="57150" simplePos="0" locked="0" layoutInCell="1" allowOverlap="1" relativeHeight="64" wp14:anchorId="16685B1A">
                <wp:simplePos x="0" y="0"/>
                <wp:positionH relativeFrom="column">
                  <wp:posOffset>737235</wp:posOffset>
                </wp:positionH>
                <wp:positionV relativeFrom="paragraph">
                  <wp:posOffset>113665</wp:posOffset>
                </wp:positionV>
                <wp:extent cx="0" cy="114300"/>
                <wp:effectExtent l="38100" t="5080" r="38100" b="635"/>
                <wp:wrapNone/>
                <wp:docPr id="15" name="Прямая соединительная линия 94"/>
                <a:graphic xmlns:a="http://schemas.openxmlformats.org/drawingml/2006/main">
                  <a:graphicData uri="http://schemas.microsoft.com/office/word/2010/wordprocessingShape">
                    <wps:wsp>
                      <wps:cNvSpPr/>
                      <wps:spPr>
                        <a:xfrm>
                          <a:off x="0" y="0"/>
                          <a:ext cx="0" cy="11448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58.05pt,8.95pt" to="58.05pt,17.9pt" stroked="t" o:allowincell="f" style="position:absolute" wp14:anchorId="16685B1A">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b/>
          <w:sz w:val="24"/>
          <w:szCs w:val="24"/>
        </w:rPr>
      </w:pPr>
      <w:r>
        <w:rPr>
          <w:rFonts w:eastAsia="Times New Roman" w:cs="Times New Roman" w:ascii="Liberation Serif" w:hAnsi="Liberation Serif"/>
          <w:b/>
          <w:sz w:val="24"/>
          <w:szCs w:val="24"/>
        </w:rPr>
        <mc:AlternateContent>
          <mc:Choice Requires="wps">
            <w:drawing>
              <wp:anchor behindDoc="0" distT="0" distB="11430" distL="0" distR="22860" simplePos="0" locked="0" layoutInCell="0" allowOverlap="1" relativeHeight="14" wp14:anchorId="456B0733">
                <wp:simplePos x="0" y="0"/>
                <wp:positionH relativeFrom="margin">
                  <wp:align>left</wp:align>
                </wp:positionH>
                <wp:positionV relativeFrom="paragraph">
                  <wp:posOffset>65405</wp:posOffset>
                </wp:positionV>
                <wp:extent cx="1367790" cy="712470"/>
                <wp:effectExtent l="5080" t="5080" r="5080" b="5080"/>
                <wp:wrapNone/>
                <wp:docPr id="16" name="Прямоугольник 91"/>
                <a:graphic xmlns:a="http://schemas.openxmlformats.org/drawingml/2006/main">
                  <a:graphicData uri="http://schemas.microsoft.com/office/word/2010/wordprocessingShape">
                    <wps:wsp>
                      <wps:cNvSpPr/>
                      <wps:spPr>
                        <a:xfrm>
                          <a:off x="0" y="0"/>
                          <a:ext cx="1367640" cy="71244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Диспетчер теплоснабжающей организации организации</w:t>
                            </w:r>
                          </w:p>
                        </w:txbxContent>
                      </wps:txbx>
                      <wps:bodyPr anchor="t" upright="1">
                        <a:noAutofit/>
                      </wps:bodyPr>
                    </wps:wsp>
                  </a:graphicData>
                </a:graphic>
              </wp:anchor>
            </w:drawing>
          </mc:Choice>
          <mc:Fallback>
            <w:pict>
              <v:rect id="shape_0" fillcolor="white" stroked="t" o:allowincell="f" style="position:absolute;margin-left:0pt;margin-top:5.15pt;width:107.65pt;height:56.05pt;mso-wrap-style:square;v-text-anchor:top;mso-position-horizontal:left;mso-position-horizontal-relative:margin" wp14:anchorId="456B0733">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Диспетчер теплоснабжающей организации организации</w:t>
                      </w:r>
                    </w:p>
                  </w:txbxContent>
                </v:textbox>
                <w10:wrap type="none"/>
              </v:rect>
            </w:pict>
          </mc:Fallback>
        </mc:AlternateContent>
        <mc:AlternateContent>
          <mc:Choice Requires="wps">
            <w:drawing>
              <wp:anchor behindDoc="0" distT="60960" distB="53340" distL="9525" distR="19050" simplePos="0" locked="0" layoutInCell="1" allowOverlap="1" relativeHeight="19" wp14:anchorId="076E8A2F">
                <wp:simplePos x="0" y="0"/>
                <wp:positionH relativeFrom="column">
                  <wp:posOffset>3089910</wp:posOffset>
                </wp:positionH>
                <wp:positionV relativeFrom="paragraph">
                  <wp:posOffset>151765</wp:posOffset>
                </wp:positionV>
                <wp:extent cx="800100" cy="635"/>
                <wp:effectExtent l="5080" t="38100" r="635" b="37465"/>
                <wp:wrapNone/>
                <wp:docPr id="17" name="Прямая соединительная линия 92"/>
                <a:graphic xmlns:a="http://schemas.openxmlformats.org/drawingml/2006/main">
                  <a:graphicData uri="http://schemas.microsoft.com/office/word/2010/wordprocessingShape">
                    <wps:wsp>
                      <wps:cNvSpPr/>
                      <wps:spPr>
                        <a:xfrm>
                          <a:off x="0" y="0"/>
                          <a:ext cx="800280" cy="7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243.3pt,11.95pt" to="306.25pt,11.95pt" stroked="t" o:allowincell="f" style="position:absolute" wp14:anchorId="076E8A2F">
                <v:stroke color="black" weight="9360" endarrow="block" endarrowwidth="medium" endarrowlength="medium" joinstyle="round" endcap="flat"/>
                <v:fill o:detectmouseclick="t" on="false"/>
                <w10:wrap type="none"/>
              </v:line>
            </w:pict>
          </mc:Fallback>
        </mc:AlternateContent>
        <mc:AlternateContent>
          <mc:Choice Requires="wps">
            <w:drawing>
              <wp:anchor behindDoc="0" distT="60960" distB="53340" distL="5715" distR="22860" simplePos="0" locked="0" layoutInCell="1" allowOverlap="1" relativeHeight="24" wp14:anchorId="6F479602">
                <wp:simplePos x="0" y="0"/>
                <wp:positionH relativeFrom="column">
                  <wp:posOffset>4800600</wp:posOffset>
                </wp:positionH>
                <wp:positionV relativeFrom="paragraph">
                  <wp:posOffset>151765</wp:posOffset>
                </wp:positionV>
                <wp:extent cx="685800" cy="635"/>
                <wp:effectExtent l="5080" t="38100" r="0" b="37465"/>
                <wp:wrapNone/>
                <wp:docPr id="18" name="Прямая соединительная линия 93"/>
                <a:graphic xmlns:a="http://schemas.openxmlformats.org/drawingml/2006/main">
                  <a:graphicData uri="http://schemas.microsoft.com/office/word/2010/wordprocessingShape">
                    <wps:wsp>
                      <wps:cNvSpPr/>
                      <wps:spPr>
                        <a:xfrm>
                          <a:off x="0" y="0"/>
                          <a:ext cx="685800" cy="7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378pt,11.95pt" to="431.95pt,11.95pt" stroked="t" o:allowincell="f" style="position:absolute" wp14:anchorId="6F479602">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57150" distB="57150" distL="9525" distR="19050" simplePos="0" locked="0" layoutInCell="1" allowOverlap="1" relativeHeight="16" wp14:anchorId="68340F0B">
                <wp:simplePos x="0" y="0"/>
                <wp:positionH relativeFrom="column">
                  <wp:posOffset>1375410</wp:posOffset>
                </wp:positionH>
                <wp:positionV relativeFrom="paragraph">
                  <wp:posOffset>-1270</wp:posOffset>
                </wp:positionV>
                <wp:extent cx="342900" cy="0"/>
                <wp:effectExtent l="5080" t="38100" r="635" b="38100"/>
                <wp:wrapNone/>
                <wp:docPr id="19" name="Прямая соединительная линия 88"/>
                <a:graphic xmlns:a="http://schemas.openxmlformats.org/drawingml/2006/main">
                  <a:graphicData uri="http://schemas.microsoft.com/office/word/2010/wordprocessingShape">
                    <wps:wsp>
                      <wps:cNvSpPr/>
                      <wps:spPr>
                        <a:xfrm>
                          <a:off x="0" y="0"/>
                          <a:ext cx="343080" cy="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108.3pt,-0.1pt" to="135.25pt,-0.1pt" stroked="t" o:allowincell="f" style="position:absolute" wp14:anchorId="68340F0B">
                <v:stroke color="black" weight="9360" endarrow="block" endarrowwidth="medium" endarrowlength="medium" joinstyle="round" endcap="flat"/>
                <v:fill o:detectmouseclick="t" on="false"/>
                <w10:wrap type="none"/>
              </v:line>
            </w:pict>
          </mc:Fallback>
        </mc:AlternateContent>
        <mc:AlternateContent>
          <mc:Choice Requires="wps">
            <w:drawing>
              <wp:anchor behindDoc="0" distT="13970" distB="15240" distL="57150" distR="57150" simplePos="0" locked="0" layoutInCell="1" allowOverlap="1" relativeHeight="25" wp14:anchorId="149D5B3B">
                <wp:simplePos x="0" y="0"/>
                <wp:positionH relativeFrom="column">
                  <wp:posOffset>4337050</wp:posOffset>
                </wp:positionH>
                <wp:positionV relativeFrom="paragraph">
                  <wp:posOffset>88900</wp:posOffset>
                </wp:positionV>
                <wp:extent cx="635" cy="218440"/>
                <wp:effectExtent l="37465" t="5080" r="38100" b="635"/>
                <wp:wrapNone/>
                <wp:docPr id="20" name="Прямая соединительная линия 89"/>
                <a:graphic xmlns:a="http://schemas.openxmlformats.org/drawingml/2006/main">
                  <a:graphicData uri="http://schemas.microsoft.com/office/word/2010/wordprocessingShape">
                    <wps:wsp>
                      <wps:cNvSpPr/>
                      <wps:spPr>
                        <a:xfrm>
                          <a:off x="0" y="0"/>
                          <a:ext cx="720" cy="2185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341.5pt,7pt" to="341.5pt,24.15pt" stroked="t" o:allowincell="f" style="position:absolute" wp14:anchorId="149D5B3B">
                <v:stroke color="black" weight="9360" endarrow="block" endarrowwidth="medium" endarrowlength="medium" joinstyle="round" endcap="flat"/>
                <v:fill o:detectmouseclick="t" on="false"/>
                <w10:wrap type="none"/>
              </v:line>
            </w:pict>
          </mc:Fallback>
        </mc:AlternateContent>
        <mc:AlternateContent>
          <mc:Choice Requires="wps">
            <w:drawing>
              <wp:anchor behindDoc="0" distT="12700" distB="9525" distL="9525" distR="9525" simplePos="0" locked="0" layoutInCell="1" allowOverlap="1" relativeHeight="41" wp14:anchorId="399C9685">
                <wp:simplePos x="0" y="0"/>
                <wp:positionH relativeFrom="column">
                  <wp:posOffset>6442710</wp:posOffset>
                </wp:positionH>
                <wp:positionV relativeFrom="paragraph">
                  <wp:posOffset>144780</wp:posOffset>
                </wp:positionV>
                <wp:extent cx="3314700" cy="787400"/>
                <wp:effectExtent l="5715" t="5715" r="5715" b="5715"/>
                <wp:wrapNone/>
                <wp:docPr id="21" name="Скругленный прямоугольник 90"/>
                <a:graphic xmlns:a="http://schemas.openxmlformats.org/drawingml/2006/main">
                  <a:graphicData uri="http://schemas.microsoft.com/office/word/2010/wordprocessingShape">
                    <wps:wsp>
                      <wps:cNvSpPr/>
                      <wps:spPr>
                        <a:xfrm>
                          <a:off x="0" y="0"/>
                          <a:ext cx="3314880" cy="78732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Устанавливает взаимодействие с начальником аварийно-ремонтной службы, начальником участка, директорами УК, ремонтными бригадами теплоснабжающих  и эксплуатирующих организаций, принимает меры по организации АВР</w:t>
                            </w:r>
                          </w:p>
                        </w:txbxContent>
                      </wps:txbx>
                      <wps:bodyPr lIns="0" rIns="0" tIns="0" bIns="0"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507.3pt;margin-top:11.4pt;width:260.95pt;height:61.95pt;mso-wrap-style:square;v-text-anchor:top" wp14:anchorId="399C9685">
                <v:fill o:detectmouseclick="t" type="solid" color2="black"/>
                <v:stroke color="black" weight="9360" joinstyle="round" endcap="flat"/>
                <v:textbo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Устанавливает взаимодействие с начальником аварийно-ремонтной службы, начальником участка, директорами УК, ремонтными бригадами теплоснабжающих  и эксплуатирующих организаций, принимает меры по организации АВР</w:t>
                      </w:r>
                    </w:p>
                  </w:txbxContent>
                </v:textbox>
                <w10:wrap type="none"/>
              </v:round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56515" distB="10160" distL="28575" distR="9525" simplePos="0" locked="0" layoutInCell="1" allowOverlap="1" relativeHeight="28" wp14:anchorId="0A402AC2">
                <wp:simplePos x="0" y="0"/>
                <wp:positionH relativeFrom="column">
                  <wp:posOffset>1394460</wp:posOffset>
                </wp:positionH>
                <wp:positionV relativeFrom="paragraph">
                  <wp:posOffset>56515</wp:posOffset>
                </wp:positionV>
                <wp:extent cx="923925" cy="142875"/>
                <wp:effectExtent l="635" t="26670" r="5080" b="5080"/>
                <wp:wrapNone/>
                <wp:docPr id="22" name="Полилиния 87"/>
                <a:graphic xmlns:a="http://schemas.openxmlformats.org/drawingml/2006/main">
                  <a:graphicData uri="http://schemas.microsoft.com/office/word/2010/wordprocessingShape">
                    <wps:wsp>
                      <wps:cNvSpPr/>
                      <wps:spPr>
                        <a:xfrm>
                          <a:off x="0" y="0"/>
                          <a:ext cx="923760" cy="142920"/>
                        </a:xfrm>
                        <a:custGeom>
                          <a:avLst/>
                          <a:gdLst>
                            <a:gd name="textAreaLeft" fmla="*/ 0 w 523800"/>
                            <a:gd name="textAreaRight" fmla="*/ 524160 w 523800"/>
                            <a:gd name="textAreaTop" fmla="*/ 0 h 81000"/>
                            <a:gd name="textAreaBottom" fmla="*/ 81360 h 81000"/>
                            <a:gd name="GluePoint1X" fmla="*/ 0 w 1455"/>
                            <a:gd name="GluePoint1Y" fmla="*/ 0 h 225"/>
                            <a:gd name="GluePoint2X" fmla="*/ 1455 w 1455"/>
                            <a:gd name="GluePoint2Y" fmla="*/ 225 h 225"/>
                          </a:gdLst>
                          <a:ahLst/>
                          <a:cxnLst>
                            <a:cxn ang="0">
                              <a:pos x="GluePoint1X" y="GluePoint1Y"/>
                            </a:cxn>
                            <a:cxn ang="0">
                              <a:pos x="GluePoint2X" y="GluePoint2Y"/>
                            </a:cxn>
                          </a:cxnLst>
                          <a:rect l="textAreaLeft" t="textAreaTop" r="textAreaRight" b="textAreaBottom"/>
                          <a:pathLst>
                            <a:path w="1455" h="225">
                              <a:moveTo>
                                <a:pt x="0" y="0"/>
                              </a:moveTo>
                              <a:lnTo>
                                <a:pt x="1455" y="225"/>
                              </a:lnTo>
                            </a:path>
                          </a:pathLst>
                        </a:custGeom>
                        <a:noFill/>
                        <a:ln w="9525">
                          <a:solidFill>
                            <a:srgbClr val="000000"/>
                          </a:solidFill>
                          <a:round/>
                          <a:headEnd len="med" type="triangle" w="med"/>
                        </a:ln>
                      </wps:spPr>
                      <wps:style>
                        <a:lnRef idx="0"/>
                        <a:fillRef idx="0"/>
                        <a:effectRef idx="0"/>
                        <a:fontRef idx="minor"/>
                      </wps:style>
                      <wps:bodyPr/>
                    </wps:wsp>
                  </a:graphicData>
                </a:graphic>
              </wp:anchor>
            </w:drawing>
          </mc:Choice>
          <mc:Fallback>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13970" distB="9525" distL="13335" distR="9525" simplePos="0" locked="0" layoutInCell="1" allowOverlap="1" relativeHeight="26" wp14:anchorId="32BC02A0">
                <wp:simplePos x="0" y="0"/>
                <wp:positionH relativeFrom="column">
                  <wp:posOffset>2331720</wp:posOffset>
                </wp:positionH>
                <wp:positionV relativeFrom="paragraph">
                  <wp:posOffset>-3810</wp:posOffset>
                </wp:positionV>
                <wp:extent cx="3120390" cy="614680"/>
                <wp:effectExtent l="5715" t="5715" r="5715" b="5715"/>
                <wp:wrapNone/>
                <wp:docPr id="23" name="Скругленный прямоугольник 82"/>
                <a:graphic xmlns:a="http://schemas.openxmlformats.org/drawingml/2006/main">
                  <a:graphicData uri="http://schemas.microsoft.com/office/word/2010/wordprocessingShape">
                    <wps:wsp>
                      <wps:cNvSpPr/>
                      <wps:spPr>
                        <a:xfrm>
                          <a:off x="0" y="0"/>
                          <a:ext cx="3120480" cy="61452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При продолжительных сроках устранения аварии, информирует о масштабах аварии, требующихся дополнительных силах и материальных ресурсах</w:t>
                            </w:r>
                          </w:p>
                        </w:txbxContent>
                      </wps:txbx>
                      <wps:bodyPr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183.6pt;margin-top:-0.3pt;width:245.65pt;height:48.35pt;mso-wrap-style:square;v-text-anchor:top" wp14:anchorId="32BC02A0">
                <v:fill o:detectmouseclick="t" type="solid" color2="black"/>
                <v:stroke color="black" weight="9360" joinstyle="round" endcap="flat"/>
                <v:textbo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При продолжительных сроках устранения аварии, информирует о масштабах аварии, требующихся дополнительных силах и материальных ресурсах</w:t>
                      </w:r>
                    </w:p>
                  </w:txbxContent>
                </v:textbox>
                <w10:wrap type="none"/>
              </v:roundrect>
            </w:pict>
          </mc:Fallback>
        </mc:AlternateContent>
        <mc:AlternateContent>
          <mc:Choice Requires="wps">
            <w:drawing>
              <wp:anchor behindDoc="0" distT="0" distB="60325" distL="76200" distR="66675" simplePos="0" locked="0" layoutInCell="1" allowOverlap="1" relativeHeight="31" wp14:anchorId="6BA8943E">
                <wp:simplePos x="0" y="0"/>
                <wp:positionH relativeFrom="column">
                  <wp:posOffset>784860</wp:posOffset>
                </wp:positionH>
                <wp:positionV relativeFrom="paragraph">
                  <wp:posOffset>135255</wp:posOffset>
                </wp:positionV>
                <wp:extent cx="9525" cy="130175"/>
                <wp:effectExtent l="34290" t="5080" r="32385" b="0"/>
                <wp:wrapNone/>
                <wp:docPr id="24" name="Прямая соединительная линия 84"/>
                <a:graphic xmlns:a="http://schemas.openxmlformats.org/drawingml/2006/main">
                  <a:graphicData uri="http://schemas.microsoft.com/office/word/2010/wordprocessingShape">
                    <wps:wsp>
                      <wps:cNvSpPr/>
                      <wps:spPr>
                        <a:xfrm>
                          <a:off x="0" y="0"/>
                          <a:ext cx="9360" cy="1303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61.8pt,10.65pt" to="62.5pt,20.85pt" stroked="t" o:allowincell="f" style="position:absolute" wp14:anchorId="6BA8943E">
                <v:stroke color="black" weight="9360" endarrow="block" endarrowwidth="medium" endarrowlength="medium" joinstyle="round" endcap="flat"/>
                <v:fill o:detectmouseclick="t" on="false"/>
                <w10:wrap type="none"/>
              </v:line>
            </w:pict>
          </mc:Fallback>
        </mc:AlternateContent>
        <mc:AlternateContent>
          <mc:Choice Requires="wps">
            <w:drawing>
              <wp:anchor behindDoc="0" distT="12065" distB="10160" distL="5715" distR="11430" simplePos="0" locked="0" layoutInCell="1" allowOverlap="1" relativeHeight="51" wp14:anchorId="251DE97D">
                <wp:simplePos x="0" y="0"/>
                <wp:positionH relativeFrom="column">
                  <wp:posOffset>6172200</wp:posOffset>
                </wp:positionH>
                <wp:positionV relativeFrom="paragraph">
                  <wp:posOffset>137160</wp:posOffset>
                </wp:positionV>
                <wp:extent cx="1905" cy="1216025"/>
                <wp:effectExtent l="5080" t="5080" r="5080" b="5080"/>
                <wp:wrapNone/>
                <wp:docPr id="25" name="Прямая соединительная линия 83"/>
                <a:graphic xmlns:a="http://schemas.openxmlformats.org/drawingml/2006/main">
                  <a:graphicData uri="http://schemas.microsoft.com/office/word/2010/wordprocessingShape">
                    <wps:wsp>
                      <wps:cNvSpPr/>
                      <wps:spPr>
                        <a:xfrm flipH="1">
                          <a:off x="0" y="0"/>
                          <a:ext cx="1800" cy="121608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486pt,10.8pt" to="486.1pt,106.5pt" stroked="t" o:allowincell="f" style="position:absolute;flip:x" wp14:anchorId="251DE97D">
                <v:stroke color="black" weight="9360" joinstyle="round" endcap="flat"/>
                <v:fill o:detectmouseclick="t" on="false"/>
                <w10:wrap type="none"/>
              </v:line>
            </w:pict>
          </mc:Fallback>
        </mc:AlternateContent>
        <mc:AlternateContent>
          <mc:Choice Requires="wps">
            <w:drawing>
              <wp:anchor behindDoc="0" distT="59690" distB="54610" distL="5715" distR="19050" simplePos="0" locked="0" layoutInCell="1" allowOverlap="1" relativeHeight="52" wp14:anchorId="6F24201E">
                <wp:simplePos x="0" y="0"/>
                <wp:positionH relativeFrom="column">
                  <wp:posOffset>6172200</wp:posOffset>
                </wp:positionH>
                <wp:positionV relativeFrom="paragraph">
                  <wp:posOffset>136525</wp:posOffset>
                </wp:positionV>
                <wp:extent cx="270510" cy="635"/>
                <wp:effectExtent l="5080" t="38100" r="0" b="37465"/>
                <wp:wrapNone/>
                <wp:docPr id="26" name="Прямая соединительная линия 86"/>
                <a:graphic xmlns:a="http://schemas.openxmlformats.org/drawingml/2006/main">
                  <a:graphicData uri="http://schemas.microsoft.com/office/word/2010/wordprocessingShape">
                    <wps:wsp>
                      <wps:cNvSpPr/>
                      <wps:spPr>
                        <a:xfrm>
                          <a:off x="0" y="0"/>
                          <a:ext cx="270360" cy="7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486pt,10.75pt" to="507.25pt,10.75pt" stroked="t" o:allowincell="f" style="position:absolute" wp14:anchorId="6F24201E">
                <v:stroke color="black" weight="9360" endarrow="block" endarrowwidth="medium" endarrowlength="medium" joinstyle="round" endcap="flat"/>
                <v:fill o:detectmouseclick="t" on="false"/>
                <w10:wrap type="none"/>
              </v:line>
            </w:pict>
          </mc:Fallback>
        </mc:AlternateContent>
        <mc:AlternateContent>
          <mc:Choice Requires="wps">
            <w:drawing>
              <wp:anchor behindDoc="0" distT="13970" distB="56515" distL="5715" distR="38100" simplePos="0" locked="0" layoutInCell="1" allowOverlap="1" relativeHeight="80" wp14:anchorId="5870F81F">
                <wp:simplePos x="0" y="0"/>
                <wp:positionH relativeFrom="column">
                  <wp:posOffset>1285875</wp:posOffset>
                </wp:positionH>
                <wp:positionV relativeFrom="paragraph">
                  <wp:posOffset>-3810</wp:posOffset>
                </wp:positionV>
                <wp:extent cx="1604010" cy="986790"/>
                <wp:effectExtent l="5080" t="5080" r="0" b="0"/>
                <wp:wrapNone/>
                <wp:docPr id="27" name="Прямая соединительная линия 85"/>
                <a:graphic xmlns:a="http://schemas.openxmlformats.org/drawingml/2006/main">
                  <a:graphicData uri="http://schemas.microsoft.com/office/word/2010/wordprocessingShape">
                    <wps:wsp>
                      <wps:cNvSpPr/>
                      <wps:spPr>
                        <a:xfrm>
                          <a:off x="0" y="0"/>
                          <a:ext cx="1604160" cy="98676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101.25pt,-0.3pt" to="227.5pt,77.35pt" stroked="t" o:allowincell="f" style="position:absolute" wp14:anchorId="5870F81F">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8890" distB="5080" distL="13335" distR="7620" simplePos="0" locked="0" layoutInCell="1" allowOverlap="1" relativeHeight="29" wp14:anchorId="0FCB309B">
                <wp:simplePos x="0" y="0"/>
                <wp:positionH relativeFrom="column">
                  <wp:posOffset>-249555</wp:posOffset>
                </wp:positionH>
                <wp:positionV relativeFrom="paragraph">
                  <wp:posOffset>106680</wp:posOffset>
                </wp:positionV>
                <wp:extent cx="2103120" cy="1471930"/>
                <wp:effectExtent l="5715" t="5715" r="5715" b="5715"/>
                <wp:wrapNone/>
                <wp:docPr id="28" name="Скругленный прямоугольник 81"/>
                <a:graphic xmlns:a="http://schemas.openxmlformats.org/drawingml/2006/main">
                  <a:graphicData uri="http://schemas.microsoft.com/office/word/2010/wordprocessingShape">
                    <wps:wsp>
                      <wps:cNvSpPr/>
                      <wps:spPr>
                        <a:xfrm>
                          <a:off x="0" y="0"/>
                          <a:ext cx="2103120" cy="147204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rPr>
                                <w:rFonts w:ascii="Liberation Serif" w:hAnsi="Liberation Serif" w:cs="Liberation Serif"/>
                                <w:sz w:val="20"/>
                                <w:szCs w:val="20"/>
                              </w:rPr>
                            </w:pPr>
                            <w:r>
                              <w:rPr>
                                <w:rFonts w:cs="Liberation Serif" w:ascii="Liberation Serif" w:hAnsi="Liberation Serif"/>
                                <w:sz w:val="20"/>
                                <w:szCs w:val="20"/>
                              </w:rPr>
                              <w:t xml:space="preserve"> </w:t>
                            </w:r>
                            <w:r>
                              <w:rPr>
                                <w:rFonts w:cs="Liberation Serif" w:ascii="Liberation Serif" w:hAnsi="Liberation Serif"/>
                                <w:sz w:val="20"/>
                                <w:szCs w:val="20"/>
                              </w:rPr>
                              <w:t>информирует:</w:t>
                            </w:r>
                          </w:p>
                          <w:p>
                            <w:pPr>
                              <w:pStyle w:val="Style21"/>
                              <w:ind w:hanging="0"/>
                              <w:rPr>
                                <w:rFonts w:ascii="Liberation Serif" w:hAnsi="Liberation Serif" w:cs="Liberation Serif"/>
                                <w:sz w:val="20"/>
                                <w:szCs w:val="20"/>
                              </w:rPr>
                            </w:pPr>
                            <w:r>
                              <w:rPr>
                                <w:rFonts w:cs="Liberation Serif" w:ascii="Liberation Serif" w:hAnsi="Liberation Serif"/>
                                <w:sz w:val="20"/>
                                <w:szCs w:val="20"/>
                              </w:rPr>
                              <w:t>-начальника аварийно-ремонтной службы и начальника участка;</w:t>
                            </w:r>
                          </w:p>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-взаимодействующие службы  </w:t>
                            </w:r>
                          </w:p>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о месте и масштабах  аварии, </w:t>
                            </w:r>
                          </w:p>
                          <w:p>
                            <w:pPr>
                              <w:pStyle w:val="Style21"/>
                              <w:ind w:hanging="0"/>
                              <w:rPr>
                                <w:rFonts w:ascii="Liberation Serif" w:hAnsi="Liberation Serif" w:cs="Liberation Serif"/>
                                <w:sz w:val="20"/>
                                <w:szCs w:val="20"/>
                              </w:rPr>
                            </w:pPr>
                            <w:r>
                              <w:rPr>
                                <w:rFonts w:cs="Liberation Serif" w:ascii="Liberation Serif" w:hAnsi="Liberation Serif"/>
                                <w:sz w:val="20"/>
                                <w:szCs w:val="20"/>
                              </w:rPr>
                              <w:t>о задействованных силах и времени начала  ликвидации;</w:t>
                            </w:r>
                          </w:p>
                          <w:p>
                            <w:pPr>
                              <w:pStyle w:val="Style21"/>
                              <w:rPr>
                                <w:rFonts w:ascii="Liberation Serif" w:hAnsi="Liberation Serif" w:cs="Liberation Serif"/>
                                <w:sz w:val="20"/>
                                <w:szCs w:val="20"/>
                              </w:rPr>
                            </w:pPr>
                            <w:r>
                              <w:rPr>
                                <w:rFonts w:cs="Liberation Serif" w:ascii="Liberation Serif" w:hAnsi="Liberation Serif"/>
                                <w:sz w:val="20"/>
                                <w:szCs w:val="20"/>
                              </w:rPr>
                              <w:t>- о  требующихся дополнительных силах и  материальных ресурсах.</w:t>
                            </w:r>
                          </w:p>
                        </w:txbxContent>
                      </wps:txbx>
                      <wps:bodyPr lIns="0" rIns="0" tIns="0" bIns="0"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19.65pt;margin-top:8.4pt;width:165.55pt;height:115.85pt;mso-wrap-style:square;v-text-anchor:top" wp14:anchorId="0FCB309B">
                <v:fill o:detectmouseclick="t" type="solid" color2="black"/>
                <v:stroke color="black" weight="9360" joinstyle="round" endcap="flat"/>
                <v:textbox>
                  <w:txbxContent>
                    <w:p>
                      <w:pPr>
                        <w:pStyle w:val="Style21"/>
                        <w:rPr>
                          <w:rFonts w:ascii="Liberation Serif" w:hAnsi="Liberation Serif" w:cs="Liberation Serif"/>
                          <w:sz w:val="20"/>
                          <w:szCs w:val="20"/>
                        </w:rPr>
                      </w:pPr>
                      <w:r>
                        <w:rPr>
                          <w:rFonts w:cs="Liberation Serif" w:ascii="Liberation Serif" w:hAnsi="Liberation Serif"/>
                          <w:sz w:val="20"/>
                          <w:szCs w:val="20"/>
                        </w:rPr>
                        <w:t xml:space="preserve"> </w:t>
                      </w:r>
                      <w:r>
                        <w:rPr>
                          <w:rFonts w:cs="Liberation Serif" w:ascii="Liberation Serif" w:hAnsi="Liberation Serif"/>
                          <w:sz w:val="20"/>
                          <w:szCs w:val="20"/>
                        </w:rPr>
                        <w:t>информирует:</w:t>
                      </w:r>
                    </w:p>
                    <w:p>
                      <w:pPr>
                        <w:pStyle w:val="Style21"/>
                        <w:ind w:hanging="0"/>
                        <w:rPr>
                          <w:rFonts w:ascii="Liberation Serif" w:hAnsi="Liberation Serif" w:cs="Liberation Serif"/>
                          <w:sz w:val="20"/>
                          <w:szCs w:val="20"/>
                        </w:rPr>
                      </w:pPr>
                      <w:r>
                        <w:rPr>
                          <w:rFonts w:cs="Liberation Serif" w:ascii="Liberation Serif" w:hAnsi="Liberation Serif"/>
                          <w:sz w:val="20"/>
                          <w:szCs w:val="20"/>
                        </w:rPr>
                        <w:t>-начальника аварийно-ремонтной службы и начальника участка;</w:t>
                      </w:r>
                    </w:p>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-взаимодействующие службы  </w:t>
                      </w:r>
                    </w:p>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о месте и масштабах  аварии, </w:t>
                      </w:r>
                    </w:p>
                    <w:p>
                      <w:pPr>
                        <w:pStyle w:val="Style21"/>
                        <w:ind w:hanging="0"/>
                        <w:rPr>
                          <w:rFonts w:ascii="Liberation Serif" w:hAnsi="Liberation Serif" w:cs="Liberation Serif"/>
                          <w:sz w:val="20"/>
                          <w:szCs w:val="20"/>
                        </w:rPr>
                      </w:pPr>
                      <w:r>
                        <w:rPr>
                          <w:rFonts w:cs="Liberation Serif" w:ascii="Liberation Serif" w:hAnsi="Liberation Serif"/>
                          <w:sz w:val="20"/>
                          <w:szCs w:val="20"/>
                        </w:rPr>
                        <w:t>о задействованных силах и времени начала  ликвидации;</w:t>
                      </w:r>
                    </w:p>
                    <w:p>
                      <w:pPr>
                        <w:pStyle w:val="Style21"/>
                        <w:rPr>
                          <w:rFonts w:ascii="Liberation Serif" w:hAnsi="Liberation Serif" w:cs="Liberation Serif"/>
                          <w:sz w:val="20"/>
                          <w:szCs w:val="20"/>
                        </w:rPr>
                      </w:pPr>
                      <w:r>
                        <w:rPr>
                          <w:rFonts w:cs="Liberation Serif" w:ascii="Liberation Serif" w:hAnsi="Liberation Serif"/>
                          <w:sz w:val="20"/>
                          <w:szCs w:val="20"/>
                        </w:rPr>
                        <w:t>- о  требующихся дополнительных силах и  материальных ресурсах.</w:t>
                      </w:r>
                    </w:p>
                  </w:txbxContent>
                </v:textbox>
                <w10:wrap type="none"/>
              </v:round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9525" distB="15875" distL="53340" distR="60960" simplePos="0" locked="0" layoutInCell="1" allowOverlap="1" relativeHeight="55" wp14:anchorId="045085DA">
                <wp:simplePos x="0" y="0"/>
                <wp:positionH relativeFrom="column">
                  <wp:posOffset>8171815</wp:posOffset>
                </wp:positionH>
                <wp:positionV relativeFrom="paragraph">
                  <wp:posOffset>128905</wp:posOffset>
                </wp:positionV>
                <wp:extent cx="635" cy="127000"/>
                <wp:effectExtent l="38100" t="5080" r="37465" b="0"/>
                <wp:wrapNone/>
                <wp:docPr id="29" name="Прямая соединительная линия 80"/>
                <a:graphic xmlns:a="http://schemas.openxmlformats.org/drawingml/2006/main">
                  <a:graphicData uri="http://schemas.microsoft.com/office/word/2010/wordprocessingShape">
                    <wps:wsp>
                      <wps:cNvSpPr/>
                      <wps:spPr>
                        <a:xfrm>
                          <a:off x="0" y="0"/>
                          <a:ext cx="720" cy="12708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643.45pt,10.15pt" to="643.45pt,20.1pt" stroked="t" o:allowincell="f" style="position:absolute" wp14:anchorId="045085DA">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12700" distL="0" distR="19050" simplePos="0" locked="0" layoutInCell="1" allowOverlap="1" relativeHeight="43" wp14:anchorId="06D762B7">
                <wp:simplePos x="0" y="0"/>
                <wp:positionH relativeFrom="column">
                  <wp:posOffset>6943725</wp:posOffset>
                </wp:positionH>
                <wp:positionV relativeFrom="paragraph">
                  <wp:posOffset>93345</wp:posOffset>
                </wp:positionV>
                <wp:extent cx="2514600" cy="406400"/>
                <wp:effectExtent l="5080" t="5080" r="5080" b="5080"/>
                <wp:wrapNone/>
                <wp:docPr id="30" name="Прямоугольник 77"/>
                <a:graphic xmlns:a="http://schemas.openxmlformats.org/drawingml/2006/main">
                  <a:graphicData uri="http://schemas.microsoft.com/office/word/2010/wordprocessingShape">
                    <wps:wsp>
                      <wps:cNvSpPr/>
                      <wps:spPr>
                        <a:xfrm>
                          <a:off x="0" y="0"/>
                          <a:ext cx="2514600" cy="40644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 xml:space="preserve">Аварийные бригады теплоснабжающих организаций, управляющие компании, ТСЖ </w:t>
                            </w:r>
                          </w:p>
                        </w:txbxContent>
                      </wps:txbx>
                      <wps:bodyPr lIns="0" rIns="0" tIns="0" bIns="0" anchor="t" upright="1">
                        <a:noAutofit/>
                      </wps:bodyPr>
                    </wps:wsp>
                  </a:graphicData>
                </a:graphic>
              </wp:anchor>
            </w:drawing>
          </mc:Choice>
          <mc:Fallback>
            <w:pict>
              <v:rect id="shape_0" fillcolor="white" stroked="t" o:allowincell="f" style="position:absolute;margin-left:546.75pt;margin-top:7.35pt;width:197.95pt;height:31.95pt;mso-wrap-style:square;v-text-anchor:top" wp14:anchorId="06D762B7">
                <v:fill o:detectmouseclick="t" type="solid" color2="black"/>
                <v:stroke color="black" weight="9360" joinstyle="miter" endcap="flat"/>
                <v:textbo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 xml:space="preserve">Аварийные бригады теплоснабжающих организаций, управляющие компании, ТСЖ </w:t>
                      </w:r>
                    </w:p>
                  </w:txbxContent>
                </v:textbox>
                <w10:wrap type="none"/>
              </v:rect>
            </w:pict>
          </mc:Fallback>
        </mc:AlternateContent>
        <mc:AlternateContent>
          <mc:Choice Requires="wps">
            <w:drawing>
              <wp:anchor behindDoc="0" distT="22225" distB="8890" distL="53340" distR="60960" simplePos="0" locked="0" layoutInCell="1" allowOverlap="1" relativeHeight="81" wp14:anchorId="1C7B608B">
                <wp:simplePos x="0" y="0"/>
                <wp:positionH relativeFrom="column">
                  <wp:posOffset>2971165</wp:posOffset>
                </wp:positionH>
                <wp:positionV relativeFrom="paragraph">
                  <wp:posOffset>95250</wp:posOffset>
                </wp:positionV>
                <wp:extent cx="635" cy="245110"/>
                <wp:effectExtent l="37465" t="635" r="38100" b="5080"/>
                <wp:wrapNone/>
                <wp:docPr id="31" name="Прямая соединительная линия 78"/>
                <a:graphic xmlns:a="http://schemas.openxmlformats.org/drawingml/2006/main">
                  <a:graphicData uri="http://schemas.microsoft.com/office/word/2010/wordprocessingShape">
                    <wps:wsp>
                      <wps:cNvSpPr/>
                      <wps:spPr>
                        <a:xfrm flipV="1">
                          <a:off x="0" y="0"/>
                          <a:ext cx="720" cy="24516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233.95pt,7.5pt" to="233.95pt,26.75pt" stroked="t" o:allowincell="f" style="position:absolute;flip:y" wp14:anchorId="1C7B608B">
                <v:stroke color="black" weight="9360" endarrow="block" endarrowwidth="medium" endarrowlength="medium" joinstyle="round" endcap="flat"/>
                <v:fill o:detectmouseclick="t" on="false"/>
                <w10:wrap type="none"/>
              </v:line>
            </w:pict>
          </mc:Fallback>
        </mc:AlternateContent>
        <mc:AlternateContent>
          <mc:Choice Requires="wps">
            <w:drawing>
              <wp:anchor behindDoc="0" distT="60325" distB="53975" distL="5715" distR="20955" simplePos="0" locked="0" layoutInCell="1" allowOverlap="1" relativeHeight="82" wp14:anchorId="477DB0F6">
                <wp:simplePos x="0" y="0"/>
                <wp:positionH relativeFrom="column">
                  <wp:posOffset>2971800</wp:posOffset>
                </wp:positionH>
                <wp:positionV relativeFrom="paragraph">
                  <wp:posOffset>95250</wp:posOffset>
                </wp:positionV>
                <wp:extent cx="3202305" cy="635"/>
                <wp:effectExtent l="5080" t="37465" r="0" b="38100"/>
                <wp:wrapNone/>
                <wp:docPr id="32" name="Прямая соединительная линия 79"/>
                <a:graphic xmlns:a="http://schemas.openxmlformats.org/drawingml/2006/main">
                  <a:graphicData uri="http://schemas.microsoft.com/office/word/2010/wordprocessingShape">
                    <wps:wsp>
                      <wps:cNvSpPr/>
                      <wps:spPr>
                        <a:xfrm>
                          <a:off x="0" y="0"/>
                          <a:ext cx="3202200" cy="7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234pt,7.5pt" to="486.1pt,7.5pt" stroked="t" o:allowincell="f" style="position:absolute" wp14:anchorId="477DB0F6">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20320" distL="0" distR="28575" simplePos="0" locked="0" layoutInCell="1" allowOverlap="1" relativeHeight="58" wp14:anchorId="6C6A8DF8">
                <wp:simplePos x="0" y="0"/>
                <wp:positionH relativeFrom="column">
                  <wp:posOffset>4229100</wp:posOffset>
                </wp:positionH>
                <wp:positionV relativeFrom="paragraph">
                  <wp:posOffset>73660</wp:posOffset>
                </wp:positionV>
                <wp:extent cx="1762125" cy="722630"/>
                <wp:effectExtent l="5715" t="5080" r="4445" b="5080"/>
                <wp:wrapNone/>
                <wp:docPr id="33" name="Прямоугольник 76"/>
                <a:graphic xmlns:a="http://schemas.openxmlformats.org/drawingml/2006/main">
                  <a:graphicData uri="http://schemas.microsoft.com/office/word/2010/wordprocessingShape">
                    <wps:wsp>
                      <wps:cNvSpPr/>
                      <wps:spPr>
                        <a:xfrm>
                          <a:off x="0" y="0"/>
                          <a:ext cx="1762200" cy="72252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Заместитель главы ТМО по ЖКХ и Т</w:t>
                            </w:r>
                          </w:p>
                          <w:p>
                            <w:pPr>
                              <w:pStyle w:val="Style21"/>
                              <w:ind w:hanging="0"/>
                              <w:rPr>
                                <w:rFonts w:ascii="Liberation Serif" w:hAnsi="Liberation Serif" w:cs="Liberation Serif"/>
                                <w:b/>
                                <w:sz w:val="20"/>
                                <w:szCs w:val="20"/>
                              </w:rPr>
                            </w:pPr>
                            <w:r>
                              <w:rPr/>
                            </w:r>
                          </w:p>
                        </w:txbxContent>
                      </wps:txbx>
                      <wps:bodyPr anchor="t" upright="1">
                        <a:noAutofit/>
                      </wps:bodyPr>
                    </wps:wsp>
                  </a:graphicData>
                </a:graphic>
              </wp:anchor>
            </w:drawing>
          </mc:Choice>
          <mc:Fallback>
            <w:pict>
              <v:rect id="shape_0" fillcolor="white" stroked="t" o:allowincell="f" style="position:absolute;margin-left:333pt;margin-top:5.8pt;width:138.7pt;height:56.85pt;mso-wrap-style:square;v-text-anchor:top" wp14:anchorId="6C6A8DF8">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Заместитель главы ТМО по ЖКХ и Т</w:t>
                      </w:r>
                    </w:p>
                    <w:p>
                      <w:pPr>
                        <w:pStyle w:val="Style21"/>
                        <w:ind w:hanging="0"/>
                        <w:rPr>
                          <w:rFonts w:ascii="Liberation Serif" w:hAnsi="Liberation Serif" w:cs="Liberation Serif"/>
                          <w:b/>
                          <w:sz w:val="20"/>
                          <w:szCs w:val="20"/>
                        </w:rPr>
                      </w:pPr>
                      <w:r>
                        <w:rPr/>
                      </w:r>
                    </w:p>
                  </w:txbxContent>
                </v:textbox>
                <w10:wrap type="none"/>
              </v: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10160" distL="0" distR="19050" simplePos="0" locked="0" layoutInCell="1" allowOverlap="1" relativeHeight="32" wp14:anchorId="47198480">
                <wp:simplePos x="0" y="0"/>
                <wp:positionH relativeFrom="column">
                  <wp:posOffset>2518410</wp:posOffset>
                </wp:positionH>
                <wp:positionV relativeFrom="paragraph">
                  <wp:posOffset>16510</wp:posOffset>
                </wp:positionV>
                <wp:extent cx="1219200" cy="732790"/>
                <wp:effectExtent l="5080" t="5080" r="5080" b="5080"/>
                <wp:wrapNone/>
                <wp:docPr id="34" name="Надпись 74"/>
                <a:graphic xmlns:a="http://schemas.openxmlformats.org/drawingml/2006/main">
                  <a:graphicData uri="http://schemas.microsoft.com/office/word/2010/wordprocessingShape">
                    <wps:wsp>
                      <wps:cNvSpPr/>
                      <wps:spPr>
                        <a:xfrm>
                          <a:off x="0" y="0"/>
                          <a:ext cx="1219320" cy="73296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b/>
                                <w:sz w:val="20"/>
                                <w:szCs w:val="20"/>
                              </w:rPr>
                            </w:pPr>
                            <w:r>
                              <w:rPr>
                                <w:rFonts w:cs="Liberation Serif" w:ascii="Liberation Serif" w:hAnsi="Liberation Serif"/>
                                <w:sz w:val="20"/>
                                <w:szCs w:val="20"/>
                              </w:rPr>
                              <w:t xml:space="preserve">ЕДДС </w:t>
                            </w:r>
                            <w:r>
                              <w:rPr>
                                <w:rFonts w:cs="Liberation Serif" w:ascii="Liberation Serif" w:hAnsi="Liberation Serif"/>
                                <w:b/>
                                <w:sz w:val="20"/>
                                <w:szCs w:val="20"/>
                              </w:rPr>
                              <w:t>тел.</w:t>
                            </w:r>
                          </w:p>
                          <w:p>
                            <w:pPr>
                              <w:pStyle w:val="Style21"/>
                              <w:ind w:hanging="0"/>
                              <w:rPr/>
                            </w:pPr>
                            <w:r>
                              <w:rPr>
                                <w:rFonts w:cs="Arial" w:ascii="Arial" w:hAnsi="Arial"/>
                                <w:color w:val="252525"/>
                                <w:sz w:val="18"/>
                                <w:szCs w:val="18"/>
                                <w:shd w:fill="ECF0F1" w:val="clear"/>
                              </w:rPr>
                              <w:t xml:space="preserve"> </w:t>
                            </w:r>
                            <w:r>
                              <w:rPr>
                                <w:rFonts w:cs="Arial" w:ascii="Arial" w:hAnsi="Arial"/>
                                <w:color w:val="252525"/>
                                <w:sz w:val="18"/>
                                <w:szCs w:val="18"/>
                                <w:shd w:fill="ECF0F1" w:val="clear"/>
                              </w:rPr>
                              <w:t>(343)228-60-73 (доб.60)</w:t>
                            </w:r>
                            <w:r>
                              <w:rPr>
                                <w:rFonts w:cs="Liberation Serif" w:ascii="Liberation Serif" w:hAnsi="Liberation Serif"/>
                                <w:b/>
                                <w:sz w:val="20"/>
                                <w:szCs w:val="20"/>
                              </w:rPr>
                              <w:t xml:space="preserve"> </w:t>
                            </w:r>
                          </w:p>
                        </w:txbxContent>
                      </wps:txbx>
                      <wps:bodyPr anchor="t" upright="1">
                        <a:noAutofit/>
                      </wps:bodyPr>
                    </wps:wsp>
                  </a:graphicData>
                </a:graphic>
              </wp:anchor>
            </w:drawing>
          </mc:Choice>
          <mc:Fallback>
            <w:pict>
              <v:rect id="shape_0" fillcolor="white" stroked="t" o:allowincell="f" style="position:absolute;margin-left:198.3pt;margin-top:1.3pt;width:95.95pt;height:57.65pt;mso-wrap-style:square;v-text-anchor:top" wp14:anchorId="47198480">
                <v:fill o:detectmouseclick="t" type="solid" color2="black"/>
                <v:stroke color="black" weight="9360" joinstyle="miter" endcap="flat"/>
                <v:textbox>
                  <w:txbxContent>
                    <w:p>
                      <w:pPr>
                        <w:pStyle w:val="Style21"/>
                        <w:ind w:hanging="0"/>
                        <w:rPr>
                          <w:rFonts w:ascii="Liberation Serif" w:hAnsi="Liberation Serif" w:cs="Liberation Serif"/>
                          <w:b/>
                          <w:sz w:val="20"/>
                          <w:szCs w:val="20"/>
                        </w:rPr>
                      </w:pPr>
                      <w:r>
                        <w:rPr>
                          <w:rFonts w:cs="Liberation Serif" w:ascii="Liberation Serif" w:hAnsi="Liberation Serif"/>
                          <w:sz w:val="20"/>
                          <w:szCs w:val="20"/>
                        </w:rPr>
                        <w:t xml:space="preserve">ЕДДС </w:t>
                      </w:r>
                      <w:r>
                        <w:rPr>
                          <w:rFonts w:cs="Liberation Serif" w:ascii="Liberation Serif" w:hAnsi="Liberation Serif"/>
                          <w:b/>
                          <w:sz w:val="20"/>
                          <w:szCs w:val="20"/>
                        </w:rPr>
                        <w:t>тел.</w:t>
                      </w:r>
                    </w:p>
                    <w:p>
                      <w:pPr>
                        <w:pStyle w:val="Style21"/>
                        <w:ind w:hanging="0"/>
                        <w:rPr/>
                      </w:pPr>
                      <w:r>
                        <w:rPr>
                          <w:rFonts w:cs="Arial" w:ascii="Arial" w:hAnsi="Arial"/>
                          <w:color w:val="252525"/>
                          <w:sz w:val="18"/>
                          <w:szCs w:val="18"/>
                          <w:shd w:fill="ECF0F1" w:val="clear"/>
                        </w:rPr>
                        <w:t xml:space="preserve"> </w:t>
                      </w:r>
                      <w:r>
                        <w:rPr>
                          <w:rFonts w:cs="Arial" w:ascii="Arial" w:hAnsi="Arial"/>
                          <w:color w:val="252525"/>
                          <w:sz w:val="18"/>
                          <w:szCs w:val="18"/>
                          <w:shd w:fill="ECF0F1" w:val="clear"/>
                        </w:rPr>
                        <w:t>(343)228-60-73 (доб.60)</w:t>
                      </w:r>
                      <w:r>
                        <w:rPr>
                          <w:rFonts w:cs="Liberation Serif" w:ascii="Liberation Serif" w:hAnsi="Liberation Serif"/>
                          <w:b/>
                          <w:sz w:val="20"/>
                          <w:szCs w:val="20"/>
                        </w:rPr>
                        <w:t xml:space="preserve"> </w:t>
                      </w:r>
                    </w:p>
                  </w:txbxContent>
                </v:textbox>
                <w10:wrap type="none"/>
              </v:rect>
            </w:pict>
          </mc:Fallback>
        </mc:AlternateContent>
        <mc:AlternateContent>
          <mc:Choice Requires="wps">
            <w:drawing>
              <wp:anchor behindDoc="0" distT="56515" distB="57785" distL="5715" distR="22860" simplePos="0" locked="0" layoutInCell="1" allowOverlap="1" relativeHeight="54" wp14:anchorId="6891CBE9">
                <wp:simplePos x="0" y="0"/>
                <wp:positionH relativeFrom="column">
                  <wp:posOffset>5991225</wp:posOffset>
                </wp:positionH>
                <wp:positionV relativeFrom="paragraph">
                  <wp:posOffset>121920</wp:posOffset>
                </wp:positionV>
                <wp:extent cx="180975" cy="635"/>
                <wp:effectExtent l="5080" t="38100" r="0" b="37465"/>
                <wp:wrapNone/>
                <wp:docPr id="35" name="Прямая соединительная линия 75"/>
                <a:graphic xmlns:a="http://schemas.openxmlformats.org/drawingml/2006/main">
                  <a:graphicData uri="http://schemas.microsoft.com/office/word/2010/wordprocessingShape">
                    <wps:wsp>
                      <wps:cNvSpPr/>
                      <wps:spPr>
                        <a:xfrm>
                          <a:off x="0" y="0"/>
                          <a:ext cx="181080" cy="7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471.75pt,9.6pt" to="485.95pt,9.6pt" stroked="t" o:allowincell="f" style="position:absolute" wp14:anchorId="6891CBE9">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12700" distB="6985" distL="5715" distR="13335" simplePos="0" locked="0" layoutInCell="1" allowOverlap="1" relativeHeight="45" wp14:anchorId="6D39B58E">
                <wp:simplePos x="0" y="0"/>
                <wp:positionH relativeFrom="column">
                  <wp:posOffset>6800850</wp:posOffset>
                </wp:positionH>
                <wp:positionV relativeFrom="paragraph">
                  <wp:posOffset>99695</wp:posOffset>
                </wp:positionV>
                <wp:extent cx="2857500" cy="427990"/>
                <wp:effectExtent l="5715" t="5715" r="5715" b="5715"/>
                <wp:wrapNone/>
                <wp:docPr id="36" name="Скругленный прямоугольник 72"/>
                <a:graphic xmlns:a="http://schemas.openxmlformats.org/drawingml/2006/main">
                  <a:graphicData uri="http://schemas.microsoft.com/office/word/2010/wordprocessingShape">
                    <wps:wsp>
                      <wps:cNvSpPr/>
                      <wps:spPr>
                        <a:xfrm>
                          <a:off x="0" y="0"/>
                          <a:ext cx="2857680" cy="42804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 xml:space="preserve">Содействует выполнению первоочередных мер по обеспечению жизнедеятельности </w:t>
                            </w:r>
                          </w:p>
                        </w:txbxContent>
                      </wps:txbx>
                      <wps:bodyPr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535.5pt;margin-top:7.85pt;width:224.95pt;height:33.65pt;mso-wrap-style:square;v-text-anchor:top" wp14:anchorId="6D39B58E">
                <v:fill o:detectmouseclick="t" type="solid" color2="black"/>
                <v:stroke color="black" weight="9360" joinstyle="round" endcap="flat"/>
                <v:textbo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 xml:space="preserve">Содействует выполнению первоочередных мер по обеспечению жизнедеятельности </w:t>
                      </w:r>
                    </w:p>
                  </w:txbxContent>
                </v:textbox>
                <w10:wrap type="none"/>
              </v:roundrect>
            </w:pict>
          </mc:Fallback>
        </mc:AlternateContent>
        <mc:AlternateContent>
          <mc:Choice Requires="wps">
            <w:drawing>
              <wp:anchor behindDoc="0" distT="12700" distB="9525" distL="9525" distR="9525" simplePos="0" locked="0" layoutInCell="1" allowOverlap="1" relativeHeight="65" wp14:anchorId="7366F294">
                <wp:simplePos x="0" y="0"/>
                <wp:positionH relativeFrom="column">
                  <wp:posOffset>2212975</wp:posOffset>
                </wp:positionH>
                <wp:positionV relativeFrom="paragraph">
                  <wp:posOffset>99695</wp:posOffset>
                </wp:positionV>
                <wp:extent cx="635" cy="2263775"/>
                <wp:effectExtent l="5080" t="5080" r="5080" b="5080"/>
                <wp:wrapNone/>
                <wp:docPr id="37" name="Прямая соединительная линия 71"/>
                <a:graphic xmlns:a="http://schemas.openxmlformats.org/drawingml/2006/main">
                  <a:graphicData uri="http://schemas.microsoft.com/office/word/2010/wordprocessingShape">
                    <wps:wsp>
                      <wps:cNvSpPr/>
                      <wps:spPr>
                        <a:xfrm>
                          <a:off x="0" y="0"/>
                          <a:ext cx="720" cy="226368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174.25pt,7.85pt" to="174.25pt,186.05pt" stroked="t" o:allowincell="f" style="position:absolute" wp14:anchorId="7366F294">
                <v:stroke color="black" weight="9360" joinstyle="round" endcap="flat"/>
                <v:fill o:detectmouseclick="t" on="false"/>
                <w10:wrap type="none"/>
              </v:line>
            </w:pict>
          </mc:Fallback>
        </mc:AlternateContent>
        <mc:AlternateContent>
          <mc:Choice Requires="wps">
            <w:drawing>
              <wp:anchor behindDoc="0" distT="60325" distB="53975" distL="19050" distR="13335" simplePos="0" locked="0" layoutInCell="1" allowOverlap="1" relativeHeight="66" wp14:anchorId="5B58E914">
                <wp:simplePos x="0" y="0"/>
                <wp:positionH relativeFrom="column">
                  <wp:posOffset>2213610</wp:posOffset>
                </wp:positionH>
                <wp:positionV relativeFrom="paragraph">
                  <wp:posOffset>99060</wp:posOffset>
                </wp:positionV>
                <wp:extent cx="300990" cy="635"/>
                <wp:effectExtent l="0" t="38100" r="5080" b="37465"/>
                <wp:wrapNone/>
                <wp:docPr id="38" name="Прямая соединительная линия 70"/>
                <a:graphic xmlns:a="http://schemas.openxmlformats.org/drawingml/2006/main">
                  <a:graphicData uri="http://schemas.microsoft.com/office/word/2010/wordprocessingShape">
                    <wps:wsp>
                      <wps:cNvSpPr/>
                      <wps:spPr>
                        <a:xfrm>
                          <a:off x="0" y="0"/>
                          <a:ext cx="300960" cy="720"/>
                        </a:xfrm>
                        <a:prstGeom prst="line">
                          <a:avLst/>
                        </a:prstGeom>
                        <a:ln w="9525">
                          <a:solidFill>
                            <a:srgbClr val="000000"/>
                          </a:solidFill>
                          <a:round/>
                          <a:headEnd len="med" type="triangle" w="med"/>
                        </a:ln>
                      </wps:spPr>
                      <wps:style>
                        <a:lnRef idx="0"/>
                        <a:fillRef idx="0"/>
                        <a:effectRef idx="0"/>
                        <a:fontRef idx="minor"/>
                      </wps:style>
                      <wps:bodyPr/>
                    </wps:wsp>
                  </a:graphicData>
                </a:graphic>
              </wp:anchor>
            </w:drawing>
          </mc:Choice>
          <mc:Fallback>
            <w:pict>
              <v:line id="shape_0" from="174.3pt,7.8pt" to="197.95pt,7.8pt" stroked="t" o:allowincell="f" style="position:absolute" wp14:anchorId="5B58E914">
                <v:stroke color="black" weight="9360" startarrow="block" startarrowwidth="medium" startarrowlength="medium" joinstyle="round" endcap="flat"/>
                <v:fill o:detectmouseclick="t" on="false"/>
                <w10:wrap type="none"/>
              </v:line>
            </w:pict>
          </mc:Fallback>
        </mc:AlternateContent>
        <mc:AlternateContent>
          <mc:Choice Requires="wps">
            <w:drawing>
              <wp:anchor behindDoc="0" distT="76200" distB="95250" distL="0" distR="13335" simplePos="0" locked="0" layoutInCell="1" allowOverlap="1" relativeHeight="75" wp14:anchorId="5CA5C48F">
                <wp:simplePos x="0" y="0"/>
                <wp:positionH relativeFrom="column">
                  <wp:posOffset>3728085</wp:posOffset>
                </wp:positionH>
                <wp:positionV relativeFrom="paragraph">
                  <wp:posOffset>97155</wp:posOffset>
                </wp:positionV>
                <wp:extent cx="501015" cy="0"/>
                <wp:effectExtent l="5080" t="38100" r="0" b="38100"/>
                <wp:wrapNone/>
                <wp:docPr id="39" name="Прямая соединительная линия 73"/>
                <a:graphic xmlns:a="http://schemas.openxmlformats.org/drawingml/2006/main">
                  <a:graphicData uri="http://schemas.microsoft.com/office/word/2010/wordprocessingShape">
                    <wps:wsp>
                      <wps:cNvSpPr/>
                      <wps:spPr>
                        <a:xfrm>
                          <a:off x="0" y="0"/>
                          <a:ext cx="501120" cy="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293.55pt,7.65pt" to="332.95pt,7.65pt" stroked="t" o:allowincell="f" style="position:absolute" wp14:anchorId="5CA5C48F">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55880" distB="58420" distL="7620" distR="22860" simplePos="0" locked="0" layoutInCell="1" allowOverlap="1" relativeHeight="53" wp14:anchorId="7D0ACCEB">
                <wp:simplePos x="0" y="0"/>
                <wp:positionH relativeFrom="column">
                  <wp:posOffset>6174105</wp:posOffset>
                </wp:positionH>
                <wp:positionV relativeFrom="paragraph">
                  <wp:posOffset>67945</wp:posOffset>
                </wp:positionV>
                <wp:extent cx="626745" cy="0"/>
                <wp:effectExtent l="5080" t="38100" r="635" b="38100"/>
                <wp:wrapNone/>
                <wp:docPr id="40" name="Прямая соединительная линия 69"/>
                <a:graphic xmlns:a="http://schemas.openxmlformats.org/drawingml/2006/main">
                  <a:graphicData uri="http://schemas.microsoft.com/office/word/2010/wordprocessingShape">
                    <wps:wsp>
                      <wps:cNvSpPr/>
                      <wps:spPr>
                        <a:xfrm>
                          <a:off x="0" y="0"/>
                          <a:ext cx="626760" cy="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486.15pt,5.35pt" to="535.45pt,5.35pt" stroked="t" o:allowincell="f" style="position:absolute" wp14:anchorId="7D0ACCEB">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13970" distB="19685" distL="53340" distR="60960" simplePos="0" locked="0" layoutInCell="1" allowOverlap="1" relativeHeight="38" wp14:anchorId="7CEFCB45">
                <wp:simplePos x="0" y="0"/>
                <wp:positionH relativeFrom="column">
                  <wp:posOffset>2971165</wp:posOffset>
                </wp:positionH>
                <wp:positionV relativeFrom="paragraph">
                  <wp:posOffset>103505</wp:posOffset>
                </wp:positionV>
                <wp:extent cx="635" cy="118745"/>
                <wp:effectExtent l="38100" t="5080" r="37465" b="635"/>
                <wp:wrapNone/>
                <wp:docPr id="41" name="Прямая соединительная линия 68"/>
                <a:graphic xmlns:a="http://schemas.openxmlformats.org/drawingml/2006/main">
                  <a:graphicData uri="http://schemas.microsoft.com/office/word/2010/wordprocessingShape">
                    <wps:wsp>
                      <wps:cNvSpPr/>
                      <wps:spPr>
                        <a:xfrm>
                          <a:off x="0" y="0"/>
                          <a:ext cx="720" cy="11880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233.95pt,8.15pt" to="233.95pt,17.45pt" stroked="t" o:allowincell="f" style="position:absolute" wp14:anchorId="7CEFCB45">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22860" distL="0" distR="13335" simplePos="0" locked="0" layoutInCell="1" allowOverlap="1" relativeHeight="34" wp14:anchorId="16D2E204">
                <wp:simplePos x="0" y="0"/>
                <wp:positionH relativeFrom="column">
                  <wp:posOffset>2318385</wp:posOffset>
                </wp:positionH>
                <wp:positionV relativeFrom="paragraph">
                  <wp:posOffset>164465</wp:posOffset>
                </wp:positionV>
                <wp:extent cx="3891915" cy="1024890"/>
                <wp:effectExtent l="5715" t="5080" r="5080" b="5715"/>
                <wp:wrapNone/>
                <wp:docPr id="42" name="Скругленный прямоугольник 65"/>
                <a:graphic xmlns:a="http://schemas.openxmlformats.org/drawingml/2006/main">
                  <a:graphicData uri="http://schemas.microsoft.com/office/word/2010/wordprocessingShape">
                    <wps:wsp>
                      <wps:cNvSpPr/>
                      <wps:spPr>
                        <a:xfrm>
                          <a:off x="0" y="0"/>
                          <a:ext cx="3891960" cy="102492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Информирует:</w:t>
                            </w:r>
                          </w:p>
                          <w:p>
                            <w:pPr>
                              <w:pStyle w:val="Style21"/>
                              <w:ind w:hanging="0"/>
                              <w:rPr>
                                <w:rFonts w:ascii="Liberation Serif" w:hAnsi="Liberation Serif" w:cs="Liberation Serif"/>
                                <w:sz w:val="20"/>
                                <w:szCs w:val="20"/>
                              </w:rPr>
                            </w:pPr>
                            <w:r>
                              <w:rPr>
                                <w:rFonts w:cs="Liberation Serif" w:ascii="Liberation Serif" w:hAnsi="Liberation Serif"/>
                                <w:sz w:val="20"/>
                                <w:szCs w:val="20"/>
                              </w:rPr>
                              <w:t>- о месте и  масштабе  аварии и времени начала АВР;</w:t>
                            </w:r>
                          </w:p>
                          <w:p>
                            <w:pPr>
                              <w:pStyle w:val="Style21"/>
                              <w:ind w:hanging="0"/>
                              <w:rPr>
                                <w:rFonts w:ascii="Liberation Serif" w:hAnsi="Liberation Serif" w:cs="Liberation Serif"/>
                                <w:sz w:val="20"/>
                                <w:szCs w:val="20"/>
                              </w:rPr>
                            </w:pPr>
                            <w:r>
                              <w:rPr>
                                <w:rFonts w:cs="Liberation Serif" w:ascii="Liberation Serif" w:hAnsi="Liberation Serif"/>
                                <w:sz w:val="20"/>
                                <w:szCs w:val="20"/>
                              </w:rPr>
                              <w:t>- о  количестве жилых домов и  объектов   соц. сферы в районе аварии;</w:t>
                            </w:r>
                          </w:p>
                          <w:p>
                            <w:pPr>
                              <w:pStyle w:val="Style21"/>
                              <w:rPr>
                                <w:rFonts w:ascii="Liberation Serif" w:hAnsi="Liberation Serif" w:cs="Liberation Serif"/>
                                <w:sz w:val="20"/>
                                <w:szCs w:val="20"/>
                              </w:rPr>
                            </w:pPr>
                            <w:r>
                              <w:rPr>
                                <w:rFonts w:cs="Liberation Serif" w:ascii="Liberation Serif" w:hAnsi="Liberation Serif"/>
                                <w:sz w:val="20"/>
                                <w:szCs w:val="20"/>
                              </w:rPr>
                              <w:t>- о  требующихся дополнительных силах и  материальных ресурсах.</w:t>
                            </w:r>
                          </w:p>
                          <w:p>
                            <w:pPr>
                              <w:pStyle w:val="Style21"/>
                              <w:rPr/>
                            </w:pPr>
                            <w:r>
                              <w:rPr/>
                              <w:t>.</w:t>
                            </w:r>
                          </w:p>
                          <w:p>
                            <w:pPr>
                              <w:pStyle w:val="Style21"/>
                              <w:rPr/>
                            </w:pPr>
                            <w:r>
                              <w:rPr/>
                            </w:r>
                          </w:p>
                        </w:txbxContent>
                      </wps:txbx>
                      <wps:bodyPr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182.55pt;margin-top:12.95pt;width:306.4pt;height:80.65pt;mso-wrap-style:square;v-text-anchor:top" wp14:anchorId="16D2E204">
                <v:fill o:detectmouseclick="t" type="solid" color2="black"/>
                <v:stroke color="black" weight="9360" joinstyle="round"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Информирует:</w:t>
                      </w:r>
                    </w:p>
                    <w:p>
                      <w:pPr>
                        <w:pStyle w:val="Style21"/>
                        <w:ind w:hanging="0"/>
                        <w:rPr>
                          <w:rFonts w:ascii="Liberation Serif" w:hAnsi="Liberation Serif" w:cs="Liberation Serif"/>
                          <w:sz w:val="20"/>
                          <w:szCs w:val="20"/>
                        </w:rPr>
                      </w:pPr>
                      <w:r>
                        <w:rPr>
                          <w:rFonts w:cs="Liberation Serif" w:ascii="Liberation Serif" w:hAnsi="Liberation Serif"/>
                          <w:sz w:val="20"/>
                          <w:szCs w:val="20"/>
                        </w:rPr>
                        <w:t>- о месте и  масштабе  аварии и времени начала АВР;</w:t>
                      </w:r>
                    </w:p>
                    <w:p>
                      <w:pPr>
                        <w:pStyle w:val="Style21"/>
                        <w:ind w:hanging="0"/>
                        <w:rPr>
                          <w:rFonts w:ascii="Liberation Serif" w:hAnsi="Liberation Serif" w:cs="Liberation Serif"/>
                          <w:sz w:val="20"/>
                          <w:szCs w:val="20"/>
                        </w:rPr>
                      </w:pPr>
                      <w:r>
                        <w:rPr>
                          <w:rFonts w:cs="Liberation Serif" w:ascii="Liberation Serif" w:hAnsi="Liberation Serif"/>
                          <w:sz w:val="20"/>
                          <w:szCs w:val="20"/>
                        </w:rPr>
                        <w:t>- о  количестве жилых домов и  объектов   соц. сферы в районе аварии;</w:t>
                      </w:r>
                    </w:p>
                    <w:p>
                      <w:pPr>
                        <w:pStyle w:val="Style21"/>
                        <w:rPr>
                          <w:rFonts w:ascii="Liberation Serif" w:hAnsi="Liberation Serif" w:cs="Liberation Serif"/>
                          <w:sz w:val="20"/>
                          <w:szCs w:val="20"/>
                        </w:rPr>
                      </w:pPr>
                      <w:r>
                        <w:rPr>
                          <w:rFonts w:cs="Liberation Serif" w:ascii="Liberation Serif" w:hAnsi="Liberation Serif"/>
                          <w:sz w:val="20"/>
                          <w:szCs w:val="20"/>
                        </w:rPr>
                        <w:t>- о  требующихся дополнительных силах и  материальных ресурсах.</w:t>
                      </w:r>
                    </w:p>
                    <w:p>
                      <w:pPr>
                        <w:pStyle w:val="Style21"/>
                        <w:rPr/>
                      </w:pPr>
                      <w:r>
                        <w:rPr/>
                        <w:t>.</w:t>
                      </w:r>
                    </w:p>
                    <w:p>
                      <w:pPr>
                        <w:pStyle w:val="Style21"/>
                        <w:rPr/>
                      </w:pPr>
                      <w:r>
                        <w:rPr/>
                      </w:r>
                    </w:p>
                  </w:txbxContent>
                </v:textbox>
                <w10:wrap type="none"/>
              </v:roundrect>
            </w:pict>
          </mc:Fallback>
        </mc:AlternateContent>
        <mc:AlternateContent>
          <mc:Choice Requires="wps">
            <w:drawing>
              <wp:anchor behindDoc="0" distT="12700" distB="15875" distL="53340" distR="60960" simplePos="0" locked="0" layoutInCell="1" allowOverlap="1" relativeHeight="56" wp14:anchorId="36CDA5A9">
                <wp:simplePos x="0" y="0"/>
                <wp:positionH relativeFrom="column">
                  <wp:posOffset>7543165</wp:posOffset>
                </wp:positionH>
                <wp:positionV relativeFrom="paragraph">
                  <wp:posOffset>46355</wp:posOffset>
                </wp:positionV>
                <wp:extent cx="635" cy="228600"/>
                <wp:effectExtent l="37465" t="5080" r="38100" b="635"/>
                <wp:wrapNone/>
                <wp:docPr id="43" name="Прямая соединительная линия 66"/>
                <a:graphic xmlns:a="http://schemas.openxmlformats.org/drawingml/2006/main">
                  <a:graphicData uri="http://schemas.microsoft.com/office/word/2010/wordprocessingShape">
                    <wps:wsp>
                      <wps:cNvSpPr/>
                      <wps:spPr>
                        <a:xfrm>
                          <a:off x="0" y="0"/>
                          <a:ext cx="720" cy="22860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593.95pt,3.65pt" to="593.95pt,21.6pt" stroked="t" o:allowincell="f" style="position:absolute" wp14:anchorId="36CDA5A9">
                <v:stroke color="black" weight="9360" endarrow="block" endarrowwidth="medium" endarrowlength="medium" joinstyle="round" endcap="flat"/>
                <v:fill o:detectmouseclick="t" on="false"/>
                <w10:wrap type="none"/>
              </v:line>
            </w:pict>
          </mc:Fallback>
        </mc:AlternateContent>
        <mc:AlternateContent>
          <mc:Choice Requires="wps">
            <w:drawing>
              <wp:anchor behindDoc="0" distT="12700" distB="15875" distL="57150" distR="57150" simplePos="0" locked="0" layoutInCell="1" allowOverlap="1" relativeHeight="57" wp14:anchorId="7C3A2DEC">
                <wp:simplePos x="0" y="0"/>
                <wp:positionH relativeFrom="column">
                  <wp:posOffset>8928100</wp:posOffset>
                </wp:positionH>
                <wp:positionV relativeFrom="paragraph">
                  <wp:posOffset>46355</wp:posOffset>
                </wp:positionV>
                <wp:extent cx="635" cy="228600"/>
                <wp:effectExtent l="37465" t="5080" r="38100" b="635"/>
                <wp:wrapNone/>
                <wp:docPr id="44" name="Прямая соединительная линия 67"/>
                <a:graphic xmlns:a="http://schemas.openxmlformats.org/drawingml/2006/main">
                  <a:graphicData uri="http://schemas.microsoft.com/office/word/2010/wordprocessingShape">
                    <wps:wsp>
                      <wps:cNvSpPr/>
                      <wps:spPr>
                        <a:xfrm>
                          <a:off x="0" y="0"/>
                          <a:ext cx="720" cy="22860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703pt,3.65pt" to="703pt,21.6pt" stroked="t" o:allowincell="f" style="position:absolute" wp14:anchorId="7C3A2DEC">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12700" distL="0" distR="19050" simplePos="0" locked="0" layoutInCell="1" allowOverlap="1" relativeHeight="47" wp14:anchorId="25134F1B">
                <wp:simplePos x="0" y="0"/>
                <wp:positionH relativeFrom="column">
                  <wp:posOffset>8220075</wp:posOffset>
                </wp:positionH>
                <wp:positionV relativeFrom="paragraph">
                  <wp:posOffset>112395</wp:posOffset>
                </wp:positionV>
                <wp:extent cx="1485900" cy="825500"/>
                <wp:effectExtent l="5080" t="5080" r="5080" b="5080"/>
                <wp:wrapNone/>
                <wp:docPr id="45" name="Прямоугольник 64"/>
                <a:graphic xmlns:a="http://schemas.openxmlformats.org/drawingml/2006/main">
                  <a:graphicData uri="http://schemas.microsoft.com/office/word/2010/wordprocessingShape">
                    <wps:wsp>
                      <wps:cNvSpPr/>
                      <wps:spPr>
                        <a:xfrm>
                          <a:off x="0" y="0"/>
                          <a:ext cx="1486080" cy="82548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Объекты с круглосуточным пребыванием людей </w:t>
                            </w:r>
                          </w:p>
                        </w:txbxContent>
                      </wps:txbx>
                      <wps:bodyPr anchor="t" upright="1">
                        <a:noAutofit/>
                      </wps:bodyPr>
                    </wps:wsp>
                  </a:graphicData>
                </a:graphic>
              </wp:anchor>
            </w:drawing>
          </mc:Choice>
          <mc:Fallback>
            <w:pict>
              <v:rect id="shape_0" fillcolor="white" stroked="t" o:allowincell="f" style="position:absolute;margin-left:647.25pt;margin-top:8.85pt;width:116.95pt;height:64.95pt;mso-wrap-style:square;v-text-anchor:top" wp14:anchorId="25134F1B">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Объекты с круглосуточным пребыванием людей </w:t>
                      </w:r>
                    </w:p>
                  </w:txbxContent>
                </v:textbox>
                <w10:wrap type="none"/>
              </v:rect>
            </w:pict>
          </mc:Fallback>
        </mc:AlternateContent>
        <mc:AlternateContent>
          <mc:Choice Requires="wps">
            <w:drawing>
              <wp:anchor behindDoc="0" distT="0" distB="12700" distL="0" distR="19050" simplePos="0" locked="0" layoutInCell="1" allowOverlap="1" relativeHeight="49" wp14:anchorId="7CA686A7">
                <wp:simplePos x="0" y="0"/>
                <wp:positionH relativeFrom="column">
                  <wp:posOffset>6800850</wp:posOffset>
                </wp:positionH>
                <wp:positionV relativeFrom="paragraph">
                  <wp:posOffset>112395</wp:posOffset>
                </wp:positionV>
                <wp:extent cx="1371600" cy="368300"/>
                <wp:effectExtent l="5080" t="5080" r="5080" b="5080"/>
                <wp:wrapNone/>
                <wp:docPr id="46" name="Прямоугольник 62"/>
                <a:graphic xmlns:a="http://schemas.openxmlformats.org/drawingml/2006/main">
                  <a:graphicData uri="http://schemas.microsoft.com/office/word/2010/wordprocessingShape">
                    <wps:wsp>
                      <wps:cNvSpPr/>
                      <wps:spPr>
                        <a:xfrm>
                          <a:off x="0" y="0"/>
                          <a:ext cx="1371600" cy="36828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 xml:space="preserve">Жилые дома </w:t>
                            </w:r>
                          </w:p>
                          <w:p>
                            <w:pPr>
                              <w:pStyle w:val="Style21"/>
                              <w:jc w:val="center"/>
                              <w:rPr/>
                            </w:pPr>
                            <w:r>
                              <w:rPr/>
                            </w:r>
                          </w:p>
                        </w:txbxContent>
                      </wps:txbx>
                      <wps:bodyPr lIns="0" rIns="0" tIns="0" bIns="0" anchor="t" upright="1">
                        <a:noAutofit/>
                      </wps:bodyPr>
                    </wps:wsp>
                  </a:graphicData>
                </a:graphic>
              </wp:anchor>
            </w:drawing>
          </mc:Choice>
          <mc:Fallback>
            <w:pict>
              <v:rect id="shape_0" fillcolor="white" stroked="t" o:allowincell="f" style="position:absolute;margin-left:535.5pt;margin-top:8.85pt;width:107.95pt;height:28.95pt;mso-wrap-style:square;v-text-anchor:top" wp14:anchorId="7CA686A7">
                <v:fill o:detectmouseclick="t" type="solid" color2="black"/>
                <v:stroke color="black" weight="9360" joinstyle="miter" endcap="flat"/>
                <v:textbox>
                  <w:txbxContent>
                    <w:p>
                      <w:pPr>
                        <w:pStyle w:val="Style21"/>
                        <w:jc w:val="center"/>
                        <w:rPr>
                          <w:rFonts w:ascii="Liberation Serif" w:hAnsi="Liberation Serif" w:cs="Liberation Serif"/>
                          <w:sz w:val="20"/>
                          <w:szCs w:val="20"/>
                        </w:rPr>
                      </w:pPr>
                      <w:r>
                        <w:rPr>
                          <w:rFonts w:cs="Liberation Serif" w:ascii="Liberation Serif" w:hAnsi="Liberation Serif"/>
                          <w:sz w:val="20"/>
                          <w:szCs w:val="20"/>
                        </w:rPr>
                        <w:t xml:space="preserve">Жилые дома </w:t>
                      </w:r>
                    </w:p>
                    <w:p>
                      <w:pPr>
                        <w:pStyle w:val="Style21"/>
                        <w:jc w:val="center"/>
                        <w:rPr/>
                      </w:pPr>
                      <w:r>
                        <w:rPr/>
                      </w:r>
                    </w:p>
                  </w:txbxContent>
                </v:textbox>
                <w10:wrap type="none"/>
              </v:rect>
            </w:pict>
          </mc:Fallback>
        </mc:AlternateContent>
        <mc:AlternateContent>
          <mc:Choice Requires="wps">
            <w:drawing>
              <wp:anchor behindDoc="0" distT="12700" distB="10160" distL="9525" distR="9525" simplePos="0" locked="0" layoutInCell="1" allowOverlap="1" relativeHeight="77" wp14:anchorId="3E19A8A1">
                <wp:simplePos x="0" y="0"/>
                <wp:positionH relativeFrom="column">
                  <wp:posOffset>-120015</wp:posOffset>
                </wp:positionH>
                <wp:positionV relativeFrom="paragraph">
                  <wp:posOffset>114300</wp:posOffset>
                </wp:positionV>
                <wp:extent cx="1838325" cy="443865"/>
                <wp:effectExtent l="5715" t="5715" r="4445" b="4445"/>
                <wp:wrapNone/>
                <wp:docPr id="47" name="Прямоугольник 63"/>
                <a:graphic xmlns:a="http://schemas.openxmlformats.org/drawingml/2006/main">
                  <a:graphicData uri="http://schemas.microsoft.com/office/word/2010/wordprocessingShape">
                    <wps:wsp>
                      <wps:cNvSpPr/>
                      <wps:spPr>
                        <a:xfrm>
                          <a:off x="0" y="0"/>
                          <a:ext cx="1838160" cy="44388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jc w:val="start"/>
                              <w:rPr>
                                <w:rFonts w:ascii="Liberation Serif" w:hAnsi="Liberation Serif" w:cs="Liberation Serif"/>
                                <w:b/>
                                <w:sz w:val="20"/>
                                <w:szCs w:val="20"/>
                              </w:rPr>
                            </w:pPr>
                            <w:r>
                              <w:rPr>
                                <w:rFonts w:cs="Liberation Serif" w:ascii="Liberation Serif" w:hAnsi="Liberation Serif"/>
                                <w:sz w:val="20"/>
                                <w:szCs w:val="20"/>
                              </w:rPr>
                              <w:t>Начальник отдела ЖКХ и Т АТМО</w:t>
                            </w:r>
                          </w:p>
                        </w:txbxContent>
                      </wps:txbx>
                      <wps:bodyPr anchor="t" upright="1">
                        <a:noAutofit/>
                      </wps:bodyPr>
                    </wps:wsp>
                  </a:graphicData>
                </a:graphic>
              </wp:anchor>
            </w:drawing>
          </mc:Choice>
          <mc:Fallback>
            <w:pict>
              <v:rect id="shape_0" fillcolor="white" stroked="t" o:allowincell="f" style="position:absolute;margin-left:-9.45pt;margin-top:9pt;width:144.7pt;height:34.9pt;mso-wrap-style:square;v-text-anchor:top" wp14:anchorId="3E19A8A1">
                <v:fill o:detectmouseclick="t" type="solid" color2="black"/>
                <v:stroke color="black" weight="9360" joinstyle="miter" endcap="flat"/>
                <v:textbox>
                  <w:txbxContent>
                    <w:p>
                      <w:pPr>
                        <w:pStyle w:val="Style21"/>
                        <w:ind w:hanging="0"/>
                        <w:jc w:val="start"/>
                        <w:rPr>
                          <w:rFonts w:ascii="Liberation Serif" w:hAnsi="Liberation Serif" w:cs="Liberation Serif"/>
                          <w:b/>
                          <w:sz w:val="20"/>
                          <w:szCs w:val="20"/>
                        </w:rPr>
                      </w:pPr>
                      <w:r>
                        <w:rPr>
                          <w:rFonts w:cs="Liberation Serif" w:ascii="Liberation Serif" w:hAnsi="Liberation Serif"/>
                          <w:sz w:val="20"/>
                          <w:szCs w:val="20"/>
                        </w:rPr>
                        <w:t>Начальник отдела ЖКХ и Т АТМО</w:t>
                      </w:r>
                    </w:p>
                  </w:txbxContent>
                </v:textbox>
                <w10:wrap type="none"/>
              </v: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54610" distB="59690" distL="19050" distR="9525" simplePos="0" locked="0" layoutInCell="1" allowOverlap="1" relativeHeight="79" wp14:anchorId="682D8E22">
                <wp:simplePos x="0" y="0"/>
                <wp:positionH relativeFrom="column">
                  <wp:posOffset>1718310</wp:posOffset>
                </wp:positionH>
                <wp:positionV relativeFrom="paragraph">
                  <wp:posOffset>138430</wp:posOffset>
                </wp:positionV>
                <wp:extent cx="495300" cy="635"/>
                <wp:effectExtent l="635" t="38100" r="5080" b="37465"/>
                <wp:wrapNone/>
                <wp:docPr id="48" name="Прямая соединительная линия 61"/>
                <a:graphic xmlns:a="http://schemas.openxmlformats.org/drawingml/2006/main">
                  <a:graphicData uri="http://schemas.microsoft.com/office/word/2010/wordprocessingShape">
                    <wps:wsp>
                      <wps:cNvSpPr/>
                      <wps:spPr>
                        <a:xfrm>
                          <a:off x="0" y="0"/>
                          <a:ext cx="495360" cy="720"/>
                        </a:xfrm>
                        <a:prstGeom prst="line">
                          <a:avLst/>
                        </a:prstGeom>
                        <a:ln w="9525">
                          <a:solidFill>
                            <a:srgbClr val="000000"/>
                          </a:solidFill>
                          <a:round/>
                          <a:headEnd len="med" type="triangle" w="med"/>
                        </a:ln>
                      </wps:spPr>
                      <wps:style>
                        <a:lnRef idx="0"/>
                        <a:fillRef idx="0"/>
                        <a:effectRef idx="0"/>
                        <a:fontRef idx="minor"/>
                      </wps:style>
                      <wps:bodyPr/>
                    </wps:wsp>
                  </a:graphicData>
                </a:graphic>
              </wp:anchor>
            </w:drawing>
          </mc:Choice>
          <mc:Fallback>
            <w:pict>
              <v:line id="shape_0" from="135.3pt,10.9pt" to="174.25pt,10.9pt" stroked="t" o:allowincell="f" style="position:absolute" wp14:anchorId="682D8E22">
                <v:stroke color="black" weight="9360" startarrow="block" startarrowwidth="medium" start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28575" distL="0" distR="28575" simplePos="0" locked="0" layoutInCell="1" allowOverlap="1" relativeHeight="60" wp14:anchorId="7E27830B">
                <wp:simplePos x="0" y="0"/>
                <wp:positionH relativeFrom="column">
                  <wp:posOffset>-120015</wp:posOffset>
                </wp:positionH>
                <wp:positionV relativeFrom="paragraph">
                  <wp:posOffset>208280</wp:posOffset>
                </wp:positionV>
                <wp:extent cx="1838325" cy="466725"/>
                <wp:effectExtent l="5715" t="5715" r="4445" b="4445"/>
                <wp:wrapNone/>
                <wp:docPr id="49" name="Прямоугольник 60"/>
                <a:graphic xmlns:a="http://schemas.openxmlformats.org/drawingml/2006/main">
                  <a:graphicData uri="http://schemas.microsoft.com/office/word/2010/wordprocessingShape">
                    <wps:wsp>
                      <wps:cNvSpPr/>
                      <wps:spPr>
                        <a:xfrm>
                          <a:off x="0" y="0"/>
                          <a:ext cx="1838160" cy="46656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b/>
                                <w:sz w:val="20"/>
                                <w:szCs w:val="20"/>
                              </w:rPr>
                            </w:pPr>
                            <w:r>
                              <w:rPr>
                                <w:rFonts w:cs="Liberation Serif" w:ascii="Liberation Serif" w:hAnsi="Liberation Serif"/>
                                <w:sz w:val="20"/>
                                <w:szCs w:val="20"/>
                              </w:rPr>
                              <w:t>Заместитель главы ТМО по ЖКХ  и Т</w:t>
                            </w:r>
                          </w:p>
                        </w:txbxContent>
                      </wps:txbx>
                      <wps:bodyPr lIns="0" rIns="0" tIns="0" bIns="0" anchor="t" upright="1">
                        <a:noAutofit/>
                      </wps:bodyPr>
                    </wps:wsp>
                  </a:graphicData>
                </a:graphic>
              </wp:anchor>
            </w:drawing>
          </mc:Choice>
          <mc:Fallback>
            <w:pict>
              <v:rect id="shape_0" fillcolor="white" stroked="t" o:allowincell="f" style="position:absolute;margin-left:-9.45pt;margin-top:16.4pt;width:144.7pt;height:36.7pt;mso-wrap-style:square;v-text-anchor:top" wp14:anchorId="7E27830B">
                <v:fill o:detectmouseclick="t" type="solid" color2="black"/>
                <v:stroke color="black" weight="9360" joinstyle="miter" endcap="flat"/>
                <v:textbox>
                  <w:txbxContent>
                    <w:p>
                      <w:pPr>
                        <w:pStyle w:val="Style21"/>
                        <w:ind w:hanging="0"/>
                        <w:rPr>
                          <w:rFonts w:ascii="Liberation Serif" w:hAnsi="Liberation Serif" w:cs="Liberation Serif"/>
                          <w:b/>
                          <w:sz w:val="20"/>
                          <w:szCs w:val="20"/>
                        </w:rPr>
                      </w:pPr>
                      <w:r>
                        <w:rPr>
                          <w:rFonts w:cs="Liberation Serif" w:ascii="Liberation Serif" w:hAnsi="Liberation Serif"/>
                          <w:sz w:val="20"/>
                          <w:szCs w:val="20"/>
                        </w:rPr>
                        <w:t>Заместитель главы ТМО по ЖКХ  и Т</w:t>
                      </w:r>
                    </w:p>
                  </w:txbxContent>
                </v:textbox>
                <w10:wrap type="none"/>
              </v: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8890" distB="13335" distL="5715" distR="13335" simplePos="0" locked="0" layoutInCell="1" allowOverlap="1" relativeHeight="36" wp14:anchorId="15418B26">
                <wp:simplePos x="0" y="0"/>
                <wp:positionH relativeFrom="column">
                  <wp:posOffset>6286500</wp:posOffset>
                </wp:positionH>
                <wp:positionV relativeFrom="paragraph">
                  <wp:posOffset>118110</wp:posOffset>
                </wp:positionV>
                <wp:extent cx="1600200" cy="444500"/>
                <wp:effectExtent l="5080" t="5080" r="5080" b="5080"/>
                <wp:wrapNone/>
                <wp:docPr id="50" name="Прямоугольник 56"/>
                <a:graphic xmlns:a="http://schemas.openxmlformats.org/drawingml/2006/main">
                  <a:graphicData uri="http://schemas.microsoft.com/office/word/2010/wordprocessingShape">
                    <wps:wsp>
                      <wps:cNvSpPr/>
                      <wps:spPr>
                        <a:xfrm>
                          <a:off x="0" y="0"/>
                          <a:ext cx="1600200" cy="44460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jc w:val="start"/>
                              <w:rPr/>
                            </w:pPr>
                            <w:r>
                              <w:rPr>
                                <w:rFonts w:cs="Liberation Serif" w:ascii="Liberation Serif" w:hAnsi="Liberation Serif"/>
                                <w:sz w:val="20"/>
                                <w:szCs w:val="20"/>
                              </w:rPr>
                              <w:t>Глава ТМО</w:t>
                            </w:r>
                          </w:p>
                        </w:txbxContent>
                      </wps:txbx>
                      <wps:bodyPr anchor="t" upright="1">
                        <a:noAutofit/>
                      </wps:bodyPr>
                    </wps:wsp>
                  </a:graphicData>
                </a:graphic>
              </wp:anchor>
            </w:drawing>
          </mc:Choice>
          <mc:Fallback>
            <w:pict>
              <v:rect id="shape_0" fillcolor="white" stroked="t" o:allowincell="f" style="position:absolute;margin-left:495pt;margin-top:9.3pt;width:125.95pt;height:34.95pt;mso-wrap-style:square;v-text-anchor:top" wp14:anchorId="15418B26">
                <v:fill o:detectmouseclick="t" type="solid" color2="black"/>
                <v:stroke color="black" weight="9360" joinstyle="miter" endcap="flat"/>
                <v:textbox>
                  <w:txbxContent>
                    <w:p>
                      <w:pPr>
                        <w:pStyle w:val="Style21"/>
                        <w:jc w:val="start"/>
                        <w:rPr/>
                      </w:pPr>
                      <w:r>
                        <w:rPr>
                          <w:rFonts w:cs="Liberation Serif" w:ascii="Liberation Serif" w:hAnsi="Liberation Serif"/>
                          <w:sz w:val="20"/>
                          <w:szCs w:val="20"/>
                        </w:rPr>
                        <w:t>Глава ТМО</w:t>
                      </w:r>
                    </w:p>
                  </w:txbxContent>
                </v:textbox>
                <w10:wrap type="none"/>
              </v:rect>
            </w:pict>
          </mc:Fallback>
        </mc:AlternateContent>
        <mc:AlternateContent>
          <mc:Choice Requires="wps">
            <w:drawing>
              <wp:anchor behindDoc="0" distT="8890" distB="5715" distL="5715" distR="13335" simplePos="0" locked="0" layoutInCell="1" allowOverlap="1" relativeHeight="39" wp14:anchorId="2317F7D2">
                <wp:simplePos x="0" y="0"/>
                <wp:positionH relativeFrom="column">
                  <wp:posOffset>5485765</wp:posOffset>
                </wp:positionH>
                <wp:positionV relativeFrom="paragraph">
                  <wp:posOffset>13335</wp:posOffset>
                </wp:positionV>
                <wp:extent cx="635" cy="299720"/>
                <wp:effectExtent l="5080" t="5080" r="5080" b="5080"/>
                <wp:wrapNone/>
                <wp:docPr id="51" name="Прямая соединительная линия 57"/>
                <a:graphic xmlns:a="http://schemas.openxmlformats.org/drawingml/2006/main">
                  <a:graphicData uri="http://schemas.microsoft.com/office/word/2010/wordprocessingShape">
                    <wps:wsp>
                      <wps:cNvSpPr/>
                      <wps:spPr>
                        <a:xfrm>
                          <a:off x="0" y="0"/>
                          <a:ext cx="720" cy="29988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431.95pt,1.05pt" to="431.95pt,24.6pt" stroked="t" o:allowincell="f" style="position:absolute" wp14:anchorId="2317F7D2">
                <v:stroke color="black" weight="9360" joinstyle="round" endcap="flat"/>
                <v:fill o:detectmouseclick="t" on="false"/>
                <w10:wrap type="none"/>
              </v:line>
            </w:pict>
          </mc:Fallback>
        </mc:AlternateContent>
        <mc:AlternateContent>
          <mc:Choice Requires="wps">
            <w:drawing>
              <wp:anchor behindDoc="0" distT="56515" distB="57785" distL="19050" distR="15240" simplePos="0" locked="0" layoutInCell="1" allowOverlap="1" relativeHeight="68" wp14:anchorId="0E77A55B">
                <wp:simplePos x="0" y="0"/>
                <wp:positionH relativeFrom="column">
                  <wp:posOffset>1718310</wp:posOffset>
                </wp:positionH>
                <wp:positionV relativeFrom="paragraph">
                  <wp:posOffset>117475</wp:posOffset>
                </wp:positionV>
                <wp:extent cx="842010" cy="635"/>
                <wp:effectExtent l="635" t="38100" r="635" b="38100"/>
                <wp:wrapNone/>
                <wp:docPr id="52" name="Прямая соединительная линия 59"/>
                <a:graphic xmlns:a="http://schemas.openxmlformats.org/drawingml/2006/main">
                  <a:graphicData uri="http://schemas.microsoft.com/office/word/2010/wordprocessingShape">
                    <wps:wsp>
                      <wps:cNvSpPr/>
                      <wps:spPr>
                        <a:xfrm>
                          <a:off x="0" y="0"/>
                          <a:ext cx="842040" cy="720"/>
                        </a:xfrm>
                        <a:prstGeom prst="line">
                          <a:avLst/>
                        </a:prstGeom>
                        <a:ln w="9525">
                          <a:solidFill>
                            <a:srgbClr val="000000"/>
                          </a:solidFill>
                          <a:round/>
                          <a:headEnd len="med" type="triangle" w="med"/>
                          <a:tailEnd len="med" type="triangle" w="med"/>
                        </a:ln>
                      </wps:spPr>
                      <wps:style>
                        <a:lnRef idx="0"/>
                        <a:fillRef idx="0"/>
                        <a:effectRef idx="0"/>
                        <a:fontRef idx="minor"/>
                      </wps:style>
                      <wps:bodyPr/>
                    </wps:wsp>
                  </a:graphicData>
                </a:graphic>
              </wp:anchor>
            </w:drawing>
          </mc:Choice>
          <mc:Fallback>
            <w:pict>
              <v:line id="shape_0" from="135.3pt,9.25pt" to="201.55pt,9.25pt" stroked="t" o:allowincell="f" style="position:absolute" wp14:anchorId="0E77A55B">
                <v:stroke color="black" weight="9360" startarrow="block" endarrow="block" startarrowwidth="medium" startarrowlength="medium" endarrowwidth="medium" endarrowlength="medium" joinstyle="round" endcap="flat"/>
                <v:fill o:detectmouseclick="t" on="false"/>
                <w10:wrap type="none"/>
              </v:line>
            </w:pict>
          </mc:Fallback>
        </mc:AlternateContent>
        <mc:AlternateContent>
          <mc:Choice Requires="wps">
            <w:drawing>
              <wp:anchor behindDoc="0" distT="5715" distB="10160" distL="13335" distR="5715" simplePos="0" locked="0" layoutInCell="1" allowOverlap="1" relativeHeight="69" wp14:anchorId="265DD9C8">
                <wp:simplePos x="0" y="0"/>
                <wp:positionH relativeFrom="column">
                  <wp:posOffset>2560320</wp:posOffset>
                </wp:positionH>
                <wp:positionV relativeFrom="paragraph">
                  <wp:posOffset>67310</wp:posOffset>
                </wp:positionV>
                <wp:extent cx="1714500" cy="279400"/>
                <wp:effectExtent l="5080" t="5080" r="5080" b="5080"/>
                <wp:wrapNone/>
                <wp:docPr id="53" name="Прямоугольник 58"/>
                <a:graphic xmlns:a="http://schemas.openxmlformats.org/drawingml/2006/main">
                  <a:graphicData uri="http://schemas.microsoft.com/office/word/2010/wordprocessingShape">
                    <wps:wsp>
                      <wps:cNvSpPr/>
                      <wps:spPr>
                        <a:xfrm>
                          <a:off x="0" y="0"/>
                          <a:ext cx="1714680" cy="27936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Службы:01,02,03</w:t>
                            </w:r>
                          </w:p>
                        </w:txbxContent>
                      </wps:txbx>
                      <wps:bodyPr anchor="t" upright="1">
                        <a:noAutofit/>
                      </wps:bodyPr>
                    </wps:wsp>
                  </a:graphicData>
                </a:graphic>
              </wp:anchor>
            </w:drawing>
          </mc:Choice>
          <mc:Fallback>
            <w:pict>
              <v:rect id="shape_0" fillcolor="white" stroked="t" o:allowincell="f" style="position:absolute;margin-left:201.6pt;margin-top:5.3pt;width:134.95pt;height:21.95pt;mso-wrap-style:square;v-text-anchor:top" wp14:anchorId="265DD9C8">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Службы:01,02,03</w:t>
                      </w:r>
                    </w:p>
                  </w:txbxContent>
                </v:textbox>
                <w10:wrap type="none"/>
              </v: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60960" distB="53340" distL="5715" distR="22860" simplePos="0" locked="0" layoutInCell="1" allowOverlap="1" relativeHeight="40" wp14:anchorId="74F62E88">
                <wp:simplePos x="0" y="0"/>
                <wp:positionH relativeFrom="column">
                  <wp:posOffset>5486400</wp:posOffset>
                </wp:positionH>
                <wp:positionV relativeFrom="paragraph">
                  <wp:posOffset>151765</wp:posOffset>
                </wp:positionV>
                <wp:extent cx="800100" cy="635"/>
                <wp:effectExtent l="5080" t="38100" r="635" b="37465"/>
                <wp:wrapNone/>
                <wp:docPr id="54" name="Прямая соединительная линия 55"/>
                <a:graphic xmlns:a="http://schemas.openxmlformats.org/drawingml/2006/main">
                  <a:graphicData uri="http://schemas.microsoft.com/office/word/2010/wordprocessingShape">
                    <wps:wsp>
                      <wps:cNvSpPr/>
                      <wps:spPr>
                        <a:xfrm>
                          <a:off x="0" y="0"/>
                          <a:ext cx="800280" cy="7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432pt,11.95pt" to="494.95pt,11.95pt" stroked="t" o:allowincell="f" style="position:absolute" wp14:anchorId="74F62E88">
                <v:stroke color="black" weight="9360" endarrow="block" endarrowwidth="medium" endarrowlength="medium"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62" wp14:anchorId="516C131C">
                <wp:simplePos x="0" y="0"/>
                <wp:positionH relativeFrom="column">
                  <wp:posOffset>-120015</wp:posOffset>
                </wp:positionH>
                <wp:positionV relativeFrom="paragraph">
                  <wp:posOffset>89535</wp:posOffset>
                </wp:positionV>
                <wp:extent cx="1838325" cy="552450"/>
                <wp:effectExtent l="5715" t="5080" r="4445" b="5080"/>
                <wp:wrapNone/>
                <wp:docPr id="55" name="Прямоугольник 54"/>
                <a:graphic xmlns:a="http://schemas.openxmlformats.org/drawingml/2006/main">
                  <a:graphicData uri="http://schemas.microsoft.com/office/word/2010/wordprocessingShape">
                    <wps:wsp>
                      <wps:cNvSpPr/>
                      <wps:spPr>
                        <a:xfrm>
                          <a:off x="0" y="0"/>
                          <a:ext cx="1838160" cy="55260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b/>
                              </w:rPr>
                            </w:pPr>
                            <w:r>
                              <w:rPr>
                                <w:rFonts w:cs="Liberation Serif" w:ascii="Liberation Serif" w:hAnsi="Liberation Serif"/>
                                <w:sz w:val="20"/>
                                <w:szCs w:val="20"/>
                              </w:rPr>
                              <w:t>Заместитель главы</w:t>
                            </w:r>
                            <w:r>
                              <w:rPr/>
                              <w:t xml:space="preserve"> </w:t>
                            </w:r>
                            <w:r>
                              <w:rPr>
                                <w:rFonts w:cs="Liberation Serif" w:ascii="Liberation Serif" w:hAnsi="Liberation Serif"/>
                                <w:sz w:val="20"/>
                                <w:szCs w:val="20"/>
                              </w:rPr>
                              <w:t>ТМО</w:t>
                            </w:r>
                          </w:p>
                        </w:txbxContent>
                      </wps:txbx>
                      <wps:bodyPr lIns="0" rIns="0" tIns="0" bIns="0" anchor="t" upright="1">
                        <a:noAutofit/>
                      </wps:bodyPr>
                    </wps:wsp>
                  </a:graphicData>
                </a:graphic>
              </wp:anchor>
            </w:drawing>
          </mc:Choice>
          <mc:Fallback>
            <w:pict>
              <v:rect id="shape_0" fillcolor="white" stroked="t" o:allowincell="f" style="position:absolute;margin-left:-9.45pt;margin-top:7.05pt;width:144.7pt;height:43.45pt;mso-wrap-style:square;v-text-anchor:top" wp14:anchorId="516C131C">
                <v:fill o:detectmouseclick="t" type="solid" color2="black"/>
                <v:stroke color="black" weight="9360" joinstyle="miter" endcap="flat"/>
                <v:textbox>
                  <w:txbxContent>
                    <w:p>
                      <w:pPr>
                        <w:pStyle w:val="Style21"/>
                        <w:ind w:hanging="0"/>
                        <w:rPr>
                          <w:b/>
                        </w:rPr>
                      </w:pPr>
                      <w:r>
                        <w:rPr>
                          <w:rFonts w:cs="Liberation Serif" w:ascii="Liberation Serif" w:hAnsi="Liberation Serif"/>
                          <w:sz w:val="20"/>
                          <w:szCs w:val="20"/>
                        </w:rPr>
                        <w:t>Заместитель главы</w:t>
                      </w:r>
                      <w:r>
                        <w:rPr/>
                        <w:t xml:space="preserve"> </w:t>
                      </w:r>
                      <w:r>
                        <w:rPr>
                          <w:rFonts w:cs="Liberation Serif" w:ascii="Liberation Serif" w:hAnsi="Liberation Serif"/>
                          <w:sz w:val="20"/>
                          <w:szCs w:val="20"/>
                        </w:rPr>
                        <w:t>ТМО</w:t>
                      </w:r>
                    </w:p>
                  </w:txbxContent>
                </v:textbox>
                <w10:wrap type="none"/>
              </v: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20320" distL="0" distR="19050" simplePos="0" locked="0" layoutInCell="1" allowOverlap="1" relativeHeight="71" wp14:anchorId="5C50329D">
                <wp:simplePos x="0" y="0"/>
                <wp:positionH relativeFrom="column">
                  <wp:posOffset>2560320</wp:posOffset>
                </wp:positionH>
                <wp:positionV relativeFrom="paragraph">
                  <wp:posOffset>120650</wp:posOffset>
                </wp:positionV>
                <wp:extent cx="1714500" cy="665480"/>
                <wp:effectExtent l="5080" t="5080" r="5080" b="5080"/>
                <wp:wrapNone/>
                <wp:docPr id="56" name="Прямоугольник 53"/>
                <a:graphic xmlns:a="http://schemas.openxmlformats.org/drawingml/2006/main">
                  <a:graphicData uri="http://schemas.microsoft.com/office/word/2010/wordprocessingShape">
                    <wps:wsp>
                      <wps:cNvSpPr/>
                      <wps:spPr>
                        <a:xfrm>
                          <a:off x="0" y="0"/>
                          <a:ext cx="1714680" cy="665640"/>
                        </a:xfrm>
                        <a:prstGeom prst="rect">
                          <a:avLst/>
                        </a:prstGeom>
                        <a:solidFill>
                          <a:srgbClr val="ffffff"/>
                        </a:solidFill>
                        <a:ln w="9525">
                          <a:solidFill>
                            <a:srgbClr val="000000"/>
                          </a:solidFill>
                          <a:miter/>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Руководители </w:t>
                            </w:r>
                          </w:p>
                          <w:p>
                            <w:pPr>
                              <w:pStyle w:val="Style21"/>
                              <w:ind w:hanging="0"/>
                              <w:rPr>
                                <w:rFonts w:ascii="Liberation Serif" w:hAnsi="Liberation Serif" w:cs="Liberation Serif"/>
                                <w:sz w:val="20"/>
                                <w:szCs w:val="20"/>
                              </w:rPr>
                            </w:pPr>
                            <w:r>
                              <w:rPr>
                                <w:rFonts w:cs="Liberation Serif" w:ascii="Liberation Serif" w:hAnsi="Liberation Serif"/>
                                <w:sz w:val="20"/>
                                <w:szCs w:val="20"/>
                              </w:rPr>
                              <w:t>социально-значимых объектов</w:t>
                            </w:r>
                          </w:p>
                        </w:txbxContent>
                      </wps:txbx>
                      <wps:bodyPr lIns="0" rIns="0" tIns="0" bIns="0" anchor="t" upright="1">
                        <a:noAutofit/>
                      </wps:bodyPr>
                    </wps:wsp>
                  </a:graphicData>
                </a:graphic>
              </wp:anchor>
            </w:drawing>
          </mc:Choice>
          <mc:Fallback>
            <w:pict>
              <v:rect id="shape_0" fillcolor="white" stroked="t" o:allowincell="f" style="position:absolute;margin-left:201.6pt;margin-top:9.5pt;width:134.95pt;height:52.35pt;mso-wrap-style:square;v-text-anchor:top" wp14:anchorId="5C50329D">
                <v:fill o:detectmouseclick="t" type="solid" color2="black"/>
                <v:stroke color="black" weight="9360" joinstyle="miter"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Руководители </w:t>
                      </w:r>
                    </w:p>
                    <w:p>
                      <w:pPr>
                        <w:pStyle w:val="Style21"/>
                        <w:ind w:hanging="0"/>
                        <w:rPr>
                          <w:rFonts w:ascii="Liberation Serif" w:hAnsi="Liberation Serif" w:cs="Liberation Serif"/>
                          <w:sz w:val="20"/>
                          <w:szCs w:val="20"/>
                        </w:rPr>
                      </w:pPr>
                      <w:r>
                        <w:rPr>
                          <w:rFonts w:cs="Liberation Serif" w:ascii="Liberation Serif" w:hAnsi="Liberation Serif"/>
                          <w:sz w:val="20"/>
                          <w:szCs w:val="20"/>
                        </w:rPr>
                        <w:t>социально-значимых объектов</w:t>
                      </w:r>
                    </w:p>
                  </w:txbxContent>
                </v:textbox>
                <w10:wrap type="none"/>
              </v:rect>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5715" distB="23495" distL="57150" distR="57150" simplePos="0" locked="0" layoutInCell="1" allowOverlap="1" relativeHeight="76" wp14:anchorId="5F71B7E9">
                <wp:simplePos x="0" y="0"/>
                <wp:positionH relativeFrom="column">
                  <wp:posOffset>7080250</wp:posOffset>
                </wp:positionH>
                <wp:positionV relativeFrom="paragraph">
                  <wp:posOffset>80645</wp:posOffset>
                </wp:positionV>
                <wp:extent cx="635" cy="380365"/>
                <wp:effectExtent l="37465" t="5080" r="38100" b="635"/>
                <wp:wrapNone/>
                <wp:docPr id="57" name="Прямая соединительная линия 52"/>
                <a:graphic xmlns:a="http://schemas.openxmlformats.org/drawingml/2006/main">
                  <a:graphicData uri="http://schemas.microsoft.com/office/word/2010/wordprocessingShape">
                    <wps:wsp>
                      <wps:cNvSpPr/>
                      <wps:spPr>
                        <a:xfrm>
                          <a:off x="0" y="0"/>
                          <a:ext cx="720" cy="380520"/>
                        </a:xfrm>
                        <a:prstGeom prst="line">
                          <a:avLst/>
                        </a:prstGeom>
                        <a:ln w="9525">
                          <a:solidFill>
                            <a:srgbClr val="000000"/>
                          </a:solidFill>
                          <a:round/>
                          <a:tailEnd len="med" type="triangle" w="med"/>
                        </a:ln>
                      </wps:spPr>
                      <wps:style>
                        <a:lnRef idx="0"/>
                        <a:fillRef idx="0"/>
                        <a:effectRef idx="0"/>
                        <a:fontRef idx="minor"/>
                      </wps:style>
                      <wps:bodyPr/>
                    </wps:wsp>
                  </a:graphicData>
                </a:graphic>
              </wp:anchor>
            </w:drawing>
          </mc:Choice>
          <mc:Fallback>
            <w:pict>
              <v:line id="shape_0" from="557.5pt,6.35pt" to="557.5pt,36.25pt" stroked="t" o:allowincell="f" style="position:absolute" wp14:anchorId="5F71B7E9">
                <v:stroke color="black" weight="9360" endarrow="block"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57785" distB="56515" distL="19050" distR="15240" simplePos="0" locked="0" layoutInCell="1" allowOverlap="1" relativeHeight="67" wp14:anchorId="02D248BF">
                <wp:simplePos x="0" y="0"/>
                <wp:positionH relativeFrom="column">
                  <wp:posOffset>1718310</wp:posOffset>
                </wp:positionH>
                <wp:positionV relativeFrom="paragraph">
                  <wp:posOffset>114300</wp:posOffset>
                </wp:positionV>
                <wp:extent cx="842010" cy="635"/>
                <wp:effectExtent l="635" t="38100" r="0" b="38100"/>
                <wp:wrapNone/>
                <wp:docPr id="58" name="Прямая соединительная линия 51"/>
                <a:graphic xmlns:a="http://schemas.openxmlformats.org/drawingml/2006/main">
                  <a:graphicData uri="http://schemas.microsoft.com/office/word/2010/wordprocessingShape">
                    <wps:wsp>
                      <wps:cNvSpPr/>
                      <wps:spPr>
                        <a:xfrm flipH="1">
                          <a:off x="0" y="0"/>
                          <a:ext cx="842040" cy="720"/>
                        </a:xfrm>
                        <a:prstGeom prst="line">
                          <a:avLst/>
                        </a:prstGeom>
                        <a:ln w="9525">
                          <a:solidFill>
                            <a:srgbClr val="000000"/>
                          </a:solidFill>
                          <a:round/>
                          <a:headEnd len="med" type="triangle" w="med"/>
                          <a:tailEnd len="med" type="triangle" w="med"/>
                        </a:ln>
                      </wps:spPr>
                      <wps:style>
                        <a:lnRef idx="0"/>
                        <a:fillRef idx="0"/>
                        <a:effectRef idx="0"/>
                        <a:fontRef idx="minor"/>
                      </wps:style>
                      <wps:bodyPr/>
                    </wps:wsp>
                  </a:graphicData>
                </a:graphic>
              </wp:anchor>
            </w:drawing>
          </mc:Choice>
          <mc:Fallback>
            <w:pict>
              <v:line id="shape_0" from="135.3pt,9pt" to="201.55pt,9pt" stroked="t" o:allowincell="f" style="position:absolute;flip:x" wp14:anchorId="02D248BF">
                <v:stroke color="black" weight="9360" startarrow="block" endarrow="block" startarrowwidth="medium" startarrowlength="medium" endarrowwidth="medium" endarrowlength="medium" joinstyle="round" endcap="flat"/>
                <v:fill o:detectmouseclick="t" on="false"/>
                <w10:wrap type="none"/>
              </v:line>
            </w:pict>
          </mc:Fallback>
        </mc:AlternateContent>
      </w:r>
    </w:p>
    <w:p>
      <w:pPr>
        <w:pStyle w:val="Normal"/>
        <w:widowControl w:val="false"/>
        <w:spacing w:lineRule="auto" w:line="240"/>
        <w:ind w:hanging="0"/>
        <w:jc w:val="start"/>
        <w:rPr>
          <w:rFonts w:ascii="Liberation Serif" w:hAnsi="Liberation Serif" w:eastAsia="Times New Roman" w:cs="Times New Roman"/>
          <w:sz w:val="24"/>
          <w:szCs w:val="24"/>
        </w:rPr>
      </w:pPr>
      <w:r>
        <w:rPr>
          <w:rFonts w:eastAsia="Times New Roman" w:cs="Times New Roman" w:ascii="Liberation Serif" w:hAnsi="Liberation Serif"/>
          <w:sz w:val="24"/>
          <w:szCs w:val="24"/>
        </w:rPr>
        <mc:AlternateContent>
          <mc:Choice Requires="wps">
            <w:drawing>
              <wp:anchor behindDoc="0" distT="0" distB="28575" distL="0" distR="19050" simplePos="0" locked="0" layoutInCell="1" allowOverlap="1" relativeHeight="73" wp14:anchorId="474C3CBB">
                <wp:simplePos x="0" y="0"/>
                <wp:positionH relativeFrom="column">
                  <wp:posOffset>6096000</wp:posOffset>
                </wp:positionH>
                <wp:positionV relativeFrom="paragraph">
                  <wp:posOffset>145415</wp:posOffset>
                </wp:positionV>
                <wp:extent cx="1943100" cy="542925"/>
                <wp:effectExtent l="5715" t="6350" r="5715" b="5080"/>
                <wp:wrapNone/>
                <wp:docPr id="59" name="Скругленный прямоугольник 50"/>
                <a:graphic xmlns:a="http://schemas.openxmlformats.org/drawingml/2006/main">
                  <a:graphicData uri="http://schemas.microsoft.com/office/word/2010/wordprocessingShape">
                    <wps:wsp>
                      <wps:cNvSpPr/>
                      <wps:spPr>
                        <a:xfrm>
                          <a:off x="0" y="0"/>
                          <a:ext cx="1943280" cy="542880"/>
                        </a:xfrm>
                        <a:prstGeom prst="roundRect">
                          <a:avLst>
                            <a:gd name="adj" fmla="val 16667"/>
                          </a:avLst>
                        </a:prstGeom>
                        <a:solidFill>
                          <a:srgbClr val="ffffff"/>
                        </a:solidFill>
                        <a:ln w="9525">
                          <a:solidFill>
                            <a:srgbClr val="000000"/>
                          </a:solidFill>
                          <a:round/>
                        </a:ln>
                      </wps:spPr>
                      <wps:style>
                        <a:lnRef idx="0"/>
                        <a:fillRef idx="0"/>
                        <a:effectRef idx="0"/>
                        <a:fontRef idx="minor"/>
                      </wps:style>
                      <wps:txb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Дает указание: - на сбор членов  КЧС </w:t>
                            </w:r>
                          </w:p>
                          <w:p>
                            <w:pPr>
                              <w:pStyle w:val="Style21"/>
                              <w:jc w:val="center"/>
                              <w:rPr/>
                            </w:pPr>
                            <w:r>
                              <w:rPr/>
                            </w:r>
                          </w:p>
                        </w:txbxContent>
                      </wps:txbx>
                      <wps:bodyPr anchor="t" upright="1">
                        <a:noAutofit/>
                      </wps:bodyPr>
                    </wps:wsp>
                  </a:graphicData>
                </a:graphic>
              </wp:anchor>
            </w:drawing>
          </mc:Choice>
          <mc:Fallback>
            <w:pict>
              <v:roundrect id="shape_0" path="l-2147483642,-2147483642l-2147483631,-2147483630l-2147483641,0l-2147483642,-2147483642l-2147483629,-2147483628l-2147483632,-2147483640l-2147483642,-2147483642xe" fillcolor="white" stroked="t" o:allowincell="f" style="position:absolute;margin-left:480pt;margin-top:11.45pt;width:152.95pt;height:42.7pt;mso-wrap-style:square;v-text-anchor:top" wp14:anchorId="474C3CBB">
                <v:fill o:detectmouseclick="t" type="solid" color2="black"/>
                <v:stroke color="black" weight="9360" joinstyle="round" endcap="flat"/>
                <v:textbox>
                  <w:txbxContent>
                    <w:p>
                      <w:pPr>
                        <w:pStyle w:val="Style21"/>
                        <w:ind w:hanging="0"/>
                        <w:rPr>
                          <w:rFonts w:ascii="Liberation Serif" w:hAnsi="Liberation Serif" w:cs="Liberation Serif"/>
                          <w:sz w:val="20"/>
                          <w:szCs w:val="20"/>
                        </w:rPr>
                      </w:pPr>
                      <w:r>
                        <w:rPr>
                          <w:rFonts w:cs="Liberation Serif" w:ascii="Liberation Serif" w:hAnsi="Liberation Serif"/>
                          <w:sz w:val="20"/>
                          <w:szCs w:val="20"/>
                        </w:rPr>
                        <w:t xml:space="preserve">Дает указание: - на сбор членов  КЧС </w:t>
                      </w:r>
                    </w:p>
                    <w:p>
                      <w:pPr>
                        <w:pStyle w:val="Style21"/>
                        <w:jc w:val="center"/>
                        <w:rPr/>
                      </w:pPr>
                      <w:r>
                        <w:rPr/>
                      </w:r>
                    </w:p>
                  </w:txbxContent>
                </v:textbox>
                <w10:wrap type="none"/>
              </v:roundrect>
            </w:pict>
          </mc:Fallback>
        </mc:AlternateContent>
      </w:r>
    </w:p>
    <w:sectPr>
      <w:headerReference w:type="default" r:id="rId25"/>
      <w:headerReference w:type="first" r:id="rId26"/>
      <w:footerReference w:type="default" r:id="rId27"/>
      <w:footerReference w:type="first" r:id="rId28"/>
      <w:type w:val="nextPage"/>
      <w:pgSz w:orient="landscape" w:w="16838" w:h="11906"/>
      <w:pgMar w:left="1134" w:right="678" w:gutter="0" w:header="708" w:top="765" w:footer="708" w:bottom="76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Calibri Light">
    <w:charset w:val="01" w:characterSet="utf-8"/>
    <w:family w:val="roman"/>
    <w:pitch w:val="variable"/>
  </w:font>
  <w:font w:name="Liberation Sans">
    <w:altName w:val="Arial"/>
    <w:charset w:val="01" w:characterSet="utf-8"/>
    <w:family w:val="swiss"/>
    <w:pitch w:val="variable"/>
  </w:font>
  <w:font w:name="Arial">
    <w:charset w:val="01" w:characterSet="utf-8"/>
    <w:family w:val="swiss"/>
    <w:pitch w:val="variable"/>
  </w:font>
  <w:font w:name="Courier New">
    <w:charset w:val="01"/>
    <w:family w:val="modern"/>
    <w:pitch w:val="fixed"/>
  </w:font>
  <w:font w:name="Wingdings">
    <w:charset w:val="02"/>
    <w:family w:val="auto"/>
    <w:pitch w:val="variable"/>
  </w:font>
  <w:font w:name="Symbol">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84566615"/>
    </w:sdtPr>
    <w:sdtContent>
      <w:p>
        <w:pPr>
          <w:pStyle w:val="Footer"/>
          <w:jc w:val="end"/>
          <w:rPr/>
        </w:pPr>
        <w:r>
          <w:rPr/>
          <w:fldChar w:fldCharType="begin"/>
        </w:r>
        <w:r>
          <w:rPr/>
          <w:instrText xml:space="preserve"> PAGE </w:instrText>
        </w:r>
        <w:r>
          <w:rPr/>
          <w:fldChar w:fldCharType="separate"/>
        </w:r>
        <w:r>
          <w:rPr/>
          <w:t>11</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84566615"/>
    </w:sdtPr>
    <w:sdtContent>
      <w:p>
        <w:pPr>
          <w:pStyle w:val="Footer"/>
          <w:jc w:val="end"/>
          <w:rPr/>
        </w:pPr>
        <w:r>
          <w:rPr/>
          <w:fldChar w:fldCharType="begin"/>
        </w:r>
        <w:r>
          <w:rPr/>
          <w:instrText xml:space="preserve"> PAGE </w:instrText>
        </w:r>
        <w:r>
          <w:rPr/>
          <w:fldChar w:fldCharType="separate"/>
        </w:r>
        <w:r>
          <w:rPr/>
          <w:t>40</w:t>
        </w:r>
        <w:r>
          <w:rPr/>
          <w:fldChar w:fldCharType="end"/>
        </w:r>
      </w:p>
    </w:sdtContent>
  </w:sdt>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84566615"/>
    </w:sdtPr>
    <w:sdtContent>
      <w:p>
        <w:pPr>
          <w:pStyle w:val="Footer"/>
          <w:jc w:val="end"/>
          <w:rPr/>
        </w:pPr>
        <w:r>
          <w:rPr/>
          <w:fldChar w:fldCharType="begin"/>
        </w:r>
        <w:r>
          <w:rPr/>
          <w:instrText xml:space="preserve"> PAGE </w:instrText>
        </w:r>
        <w:r>
          <w:rPr/>
          <w:fldChar w:fldCharType="separate"/>
        </w:r>
        <w:r>
          <w:rPr/>
          <w:t>41</w:t>
        </w:r>
        <w:r>
          <w:rPr/>
          <w:fldChar w:fldCharType="end"/>
        </w:r>
      </w:p>
    </w:sdtContent>
  </w:sdt>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ind w:hanging="0" w:start="648"/>
      <w:jc w:val="center"/>
      <w:rPr/>
    </w:pPr>
    <w:r>
      <w:rPr/>
      <w:fldChar w:fldCharType="begin"/>
    </w:r>
    <w:r>
      <w:rPr/>
      <w:instrText xml:space="preserve"> PAGE </w:instrText>
    </w:r>
    <w:r>
      <w:rPr/>
      <w:fldChar w:fldCharType="separate"/>
    </w:r>
    <w:r>
      <w:rPr/>
      <w:t>0</w:t>
    </w:r>
    <w:r>
      <w:rPr/>
      <w:fldChar w:fldCharType="end"/>
    </w:r>
    <w:r>
      <w:rPr>
        <w:sz w:val="24"/>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ind w:hanging="0" w:start="648"/>
      <w:jc w:val="center"/>
      <w:rPr/>
    </w:pPr>
    <w:r>
      <w:rPr/>
      <w:fldChar w:fldCharType="begin"/>
    </w:r>
    <w:r>
      <w:rPr/>
      <w:instrText xml:space="preserve"> PAGE </w:instrText>
    </w:r>
    <w:r>
      <w:rPr/>
      <w:fldChar w:fldCharType="separate"/>
    </w:r>
    <w:r>
      <w:rPr/>
      <w:t>40</w:t>
    </w:r>
    <w:r>
      <w:rPr/>
      <w:fldChar w:fldCharType="end"/>
    </w:r>
    <w:r>
      <w:rPr>
        <w:sz w:val="24"/>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ind w:hanging="0" w:start="648"/>
      <w:jc w:val="center"/>
      <w:rPr/>
    </w:pPr>
    <w:r>
      <w:rPr/>
      <w:fldChar w:fldCharType="begin"/>
    </w:r>
    <w:r>
      <w:rPr/>
      <w:instrText xml:space="preserve"> PAGE </w:instrText>
    </w:r>
    <w:r>
      <w:rPr/>
      <w:fldChar w:fldCharType="separate"/>
    </w:r>
    <w:r>
      <w:rPr/>
      <w:t>40</w:t>
    </w:r>
    <w:r>
      <w:rPr/>
      <w:fldChar w:fldCharType="end"/>
    </w:r>
    <w:r>
      <w:rPr>
        <w:sz w:val="24"/>
      </w:rPr>
      <w:t xml:space="preserve"> </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ind w:hanging="0" w:start="648"/>
      <w:jc w:val="center"/>
      <w:rPr/>
    </w:pPr>
    <w:r>
      <w:rPr/>
      <w:fldChar w:fldCharType="begin"/>
    </w:r>
    <w:r>
      <w:rPr/>
      <w:instrText xml:space="preserve"> PAGE </w:instrText>
    </w:r>
    <w:r>
      <w:rPr/>
      <w:fldChar w:fldCharType="separate"/>
    </w:r>
    <w:r>
      <w:rPr/>
      <w:t>41</w:t>
    </w:r>
    <w:r>
      <w:rPr/>
      <w:fldChar w:fldCharType="end"/>
    </w:r>
    <w:r>
      <w:rPr>
        <w:sz w:val="24"/>
      </w:rPr>
      <w:t xml:space="preserve">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211" w:hanging="360"/>
      </w:pPr>
      <w:rPr>
        <w:rFonts w:ascii="Times New Roman" w:hAnsi="Times New Roman" w:cs="Times New Roman"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2">
    <w:lvl w:ilvl="0">
      <w:start w:val="1"/>
      <w:numFmt w:val="decimal"/>
      <w:lvlText w:val="%1."/>
      <w:lvlJc w:val="start"/>
      <w:pPr>
        <w:tabs>
          <w:tab w:val="num" w:pos="0"/>
        </w:tabs>
        <w:ind w:start="930" w:hanging="363"/>
      </w:pPr>
      <w:rPr>
        <w:color w:themeColor="text1" w:val="000000"/>
      </w:rPr>
    </w:lvl>
    <w:lvl w:ilvl="1">
      <w:start w:val="1"/>
      <w:numFmt w:val="decimal"/>
      <w:isLgl/>
      <w:lvlText w:val="%1.%2."/>
      <w:lvlJc w:val="start"/>
      <w:pPr>
        <w:tabs>
          <w:tab w:val="num" w:pos="0"/>
        </w:tabs>
        <w:ind w:start="1215" w:hanging="363"/>
      </w:pPr>
      <w:rPr>
        <w:rFonts w:ascii="Times New Roman" w:hAnsi="Times New Roman" w:cs="Times New Roman"/>
        <w:b/>
        <w:bCs w:val="false"/>
        <w:i w:val="false"/>
        <w:iCs/>
        <w:caps w:val="false"/>
        <w:smallCaps w:val="false"/>
        <w:strike w:val="false"/>
        <w:dstrike w:val="false"/>
        <w:outline w:val="false"/>
        <w:shadow w:val="false"/>
        <w:emboss w:val="false"/>
        <w:imprint w:val="false"/>
        <w:vanish w:val="false"/>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cntxtAlts/>
        </w14:cntxtAlts>
      </w:rPr>
    </w:lvl>
    <w:lvl w:ilvl="2">
      <w:start w:val="1"/>
      <w:numFmt w:val="decimal"/>
      <w:isLgl/>
      <w:lvlText w:val="%1.%2.%3."/>
      <w:lvlJc w:val="start"/>
      <w:pPr>
        <w:tabs>
          <w:tab w:val="num" w:pos="0"/>
        </w:tabs>
        <w:ind w:start="930" w:hanging="363"/>
      </w:pPr>
      <w:rPr/>
    </w:lvl>
    <w:lvl w:ilvl="3">
      <w:start w:val="1"/>
      <w:numFmt w:val="decimal"/>
      <w:isLgl/>
      <w:lvlText w:val="%1.%2.%3.%4."/>
      <w:lvlJc w:val="start"/>
      <w:pPr>
        <w:tabs>
          <w:tab w:val="num" w:pos="567"/>
        </w:tabs>
        <w:ind w:start="930" w:hanging="363"/>
      </w:pPr>
      <w:rPr/>
    </w:lvl>
    <w:lvl w:ilvl="4">
      <w:start w:val="1"/>
      <w:numFmt w:val="decimal"/>
      <w:isLgl/>
      <w:lvlText w:val="Рисунок %1-%5."/>
      <w:lvlJc w:val="start"/>
      <w:pPr>
        <w:tabs>
          <w:tab w:val="num" w:pos="0"/>
        </w:tabs>
        <w:ind w:start="930" w:hanging="363"/>
      </w:pPr>
      <w:rPr>
        <w:rFonts w:ascii="Times New Roman" w:hAnsi="Times New Roman"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u w:val="none"/>
        <w:vertAlign w:val="baseline"/>
        <w:em w:val="none"/>
      </w:rPr>
    </w:lvl>
    <w:lvl w:ilvl="5">
      <w:start w:val="1"/>
      <w:numFmt w:val="decimal"/>
      <w:isLgl/>
      <w:lvlText w:val="Таблица %1-%6."/>
      <w:lvlJc w:val="start"/>
      <w:pPr>
        <w:tabs>
          <w:tab w:val="num" w:pos="0"/>
        </w:tabs>
        <w:ind w:start="930" w:hanging="363"/>
      </w:pPr>
      <w:rPr>
        <w:b w:val="false"/>
        <w:i w:val="false"/>
      </w:rPr>
    </w:lvl>
    <w:lvl w:ilvl="6">
      <w:start w:val="1"/>
      <w:numFmt w:val="decimal"/>
      <w:isLgl/>
      <w:lvlText w:val="Таблица %1.%2-%7."/>
      <w:lvlJc w:val="start"/>
      <w:pPr>
        <w:tabs>
          <w:tab w:val="num" w:pos="0"/>
        </w:tabs>
        <w:ind w:start="930" w:hanging="363"/>
      </w:pPr>
      <w:rPr>
        <w:rFonts w:ascii="Times New Roman" w:hAnsi="Times New Roman" w:cs="Times New Roman"/>
        <w:i w:val="false"/>
        <w:iCs w:val="false"/>
        <w:caps w:val="false"/>
        <w:smallCaps w:val="false"/>
        <w:strike w:val="false"/>
        <w:dstrike w:val="false"/>
        <w:vanish w:val="false"/>
        <w:color w:val="000000"/>
        <w:spacing w:val="0"/>
        <w:kern w:val="0"/>
        <w:position w:val="0"/>
        <w:sz w:val="22"/>
        <w:u w:val="none"/>
        <w:effect w:val="none"/>
        <w:vertAlign w:val="baseline"/>
        <w:em w:val="none"/>
      </w:rPr>
    </w:lvl>
    <w:lvl w:ilvl="7">
      <w:start w:val="1"/>
      <w:numFmt w:val="decimal"/>
      <w:isLgl/>
      <w:lvlText w:val="Таблица %1.%2.%3-%8."/>
      <w:lvlJc w:val="start"/>
      <w:pPr>
        <w:tabs>
          <w:tab w:val="num" w:pos="0"/>
        </w:tabs>
        <w:ind w:start="930" w:hanging="363"/>
      </w:pPr>
      <w:rPr>
        <w:rFonts w:ascii="Times New Roman" w:hAnsi="Times New Roman" w:cs="Times New Roman"/>
        <w:b w:val="false"/>
        <w:bCs w:val="false"/>
        <w:i w:val="false"/>
        <w:caps w:val="false"/>
        <w:smallCaps w:val="false"/>
        <w:strike w:val="false"/>
        <w:dstrike w:val="false"/>
        <w:outline w:val="false"/>
        <w:shadow w:val="false"/>
        <w:emboss w:val="false"/>
        <w:imprint w:val="false"/>
        <w:vanish w:val="false"/>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cntxtAlts/>
        </w14:cntxtAlts>
      </w:rPr>
    </w:lvl>
    <w:lvl w:ilvl="8">
      <w:start w:val="1"/>
      <w:numFmt w:val="decimal"/>
      <w:isLgl/>
      <w:lvlText w:val="Таблица %1.%2.%3.%4-%9."/>
      <w:lvlJc w:val="start"/>
      <w:pPr>
        <w:tabs>
          <w:tab w:val="num" w:pos="0"/>
        </w:tabs>
        <w:ind w:start="930" w:hanging="363"/>
      </w:pPr>
      <w:rPr/>
    </w:lvl>
  </w:abstractNum>
  <w:abstractNum w:abstractNumId="3">
    <w:lvl w:ilvl="0">
      <w:start w:val="1"/>
      <w:numFmt w:val="bullet"/>
      <w:lvlText w:val=""/>
      <w:lvlJc w:val="start"/>
      <w:pPr>
        <w:tabs>
          <w:tab w:val="num" w:pos="0"/>
        </w:tabs>
        <w:ind w:start="1429" w:hanging="360"/>
      </w:pPr>
      <w:rPr>
        <w:rFonts w:ascii="Symbol" w:hAnsi="Symbol" w:cs="Symbol" w:hint="default"/>
      </w:rPr>
    </w:lvl>
    <w:lvl w:ilvl="1">
      <w:start w:val="1"/>
      <w:numFmt w:val="bullet"/>
      <w:lvlText w:val="o"/>
      <w:lvlJc w:val="start"/>
      <w:pPr>
        <w:tabs>
          <w:tab w:val="num" w:pos="0"/>
        </w:tabs>
        <w:ind w:start="2149" w:hanging="360"/>
      </w:pPr>
      <w:rPr>
        <w:rFonts w:ascii="Courier New" w:hAnsi="Courier New" w:cs="Courier New" w:hint="default"/>
      </w:rPr>
    </w:lvl>
    <w:lvl w:ilvl="2">
      <w:start w:val="1"/>
      <w:numFmt w:val="bullet"/>
      <w:lvlText w:val=""/>
      <w:lvlJc w:val="start"/>
      <w:pPr>
        <w:tabs>
          <w:tab w:val="num" w:pos="0"/>
        </w:tabs>
        <w:ind w:start="2869" w:hanging="360"/>
      </w:pPr>
      <w:rPr>
        <w:rFonts w:ascii="Wingdings" w:hAnsi="Wingdings" w:cs="Wingdings" w:hint="default"/>
      </w:rPr>
    </w:lvl>
    <w:lvl w:ilvl="3">
      <w:start w:val="1"/>
      <w:numFmt w:val="bullet"/>
      <w:lvlText w:val=""/>
      <w:lvlJc w:val="start"/>
      <w:pPr>
        <w:tabs>
          <w:tab w:val="num" w:pos="0"/>
        </w:tabs>
        <w:ind w:start="3589" w:hanging="360"/>
      </w:pPr>
      <w:rPr>
        <w:rFonts w:ascii="Symbol" w:hAnsi="Symbol" w:cs="Symbol" w:hint="default"/>
      </w:rPr>
    </w:lvl>
    <w:lvl w:ilvl="4">
      <w:start w:val="1"/>
      <w:numFmt w:val="bullet"/>
      <w:lvlText w:val="o"/>
      <w:lvlJc w:val="start"/>
      <w:pPr>
        <w:tabs>
          <w:tab w:val="num" w:pos="0"/>
        </w:tabs>
        <w:ind w:start="4309" w:hanging="360"/>
      </w:pPr>
      <w:rPr>
        <w:rFonts w:ascii="Courier New" w:hAnsi="Courier New" w:cs="Courier New" w:hint="default"/>
      </w:rPr>
    </w:lvl>
    <w:lvl w:ilvl="5">
      <w:start w:val="1"/>
      <w:numFmt w:val="bullet"/>
      <w:lvlText w:val=""/>
      <w:lvlJc w:val="start"/>
      <w:pPr>
        <w:tabs>
          <w:tab w:val="num" w:pos="0"/>
        </w:tabs>
        <w:ind w:start="5029" w:hanging="360"/>
      </w:pPr>
      <w:rPr>
        <w:rFonts w:ascii="Wingdings" w:hAnsi="Wingdings" w:cs="Wingdings" w:hint="default"/>
      </w:rPr>
    </w:lvl>
    <w:lvl w:ilvl="6">
      <w:start w:val="1"/>
      <w:numFmt w:val="bullet"/>
      <w:lvlText w:val=""/>
      <w:lvlJc w:val="start"/>
      <w:pPr>
        <w:tabs>
          <w:tab w:val="num" w:pos="0"/>
        </w:tabs>
        <w:ind w:start="5749" w:hanging="360"/>
      </w:pPr>
      <w:rPr>
        <w:rFonts w:ascii="Symbol" w:hAnsi="Symbol" w:cs="Symbol" w:hint="default"/>
      </w:rPr>
    </w:lvl>
    <w:lvl w:ilvl="7">
      <w:start w:val="1"/>
      <w:numFmt w:val="bullet"/>
      <w:lvlText w:val="o"/>
      <w:lvlJc w:val="start"/>
      <w:pPr>
        <w:tabs>
          <w:tab w:val="num" w:pos="0"/>
        </w:tabs>
        <w:ind w:start="6469" w:hanging="360"/>
      </w:pPr>
      <w:rPr>
        <w:rFonts w:ascii="Courier New" w:hAnsi="Courier New" w:cs="Courier New" w:hint="default"/>
      </w:rPr>
    </w:lvl>
    <w:lvl w:ilvl="8">
      <w:start w:val="1"/>
      <w:numFmt w:val="bullet"/>
      <w:lvlText w:val=""/>
      <w:lvlJc w:val="start"/>
      <w:pPr>
        <w:tabs>
          <w:tab w:val="num" w:pos="0"/>
        </w:tabs>
        <w:ind w:start="7189" w:hanging="360"/>
      </w:pPr>
      <w:rPr>
        <w:rFonts w:ascii="Wingdings" w:hAnsi="Wingdings" w:cs="Wingdings" w:hint="default"/>
      </w:rPr>
    </w:lvl>
  </w:abstractNum>
  <w:abstractNum w:abstractNumId="4">
    <w:lvl w:ilvl="0">
      <w:start w:val="1"/>
      <w:numFmt w:val="bullet"/>
      <w:lvlText w:val="-"/>
      <w:lvlJc w:val="start"/>
      <w:pPr>
        <w:tabs>
          <w:tab w:val="num" w:pos="0"/>
        </w:tabs>
        <w:ind w:start="0"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8"/>
        <w:szCs w:val="28"/>
        <w:u w:val="none" w:color="000000"/>
        <w:shd w:fill="auto" w:val="clear"/>
        <w:vertAlign w:val="baseline"/>
      </w:rPr>
    </w:lvl>
  </w:abstractNum>
  <w:abstractNum w:abstractNumId="5">
    <w:lvl w:ilvl="0">
      <w:start w:val="1"/>
      <w:numFmt w:val="decimal"/>
      <w:lvlText w:val="%1."/>
      <w:lvlJc w:val="start"/>
      <w:pPr>
        <w:tabs>
          <w:tab w:val="num" w:pos="0"/>
        </w:tabs>
        <w:ind w:start="0"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1">
      <w:start w:val="1"/>
      <w:numFmt w:val="lowerLetter"/>
      <w:lvlText w:val="%2"/>
      <w:lvlJc w:val="start"/>
      <w:pPr>
        <w:tabs>
          <w:tab w:val="num" w:pos="0"/>
        </w:tabs>
        <w:ind w:start="178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2">
      <w:start w:val="1"/>
      <w:numFmt w:val="lowerRoman"/>
      <w:lvlText w:val="%3"/>
      <w:lvlJc w:val="start"/>
      <w:pPr>
        <w:tabs>
          <w:tab w:val="num" w:pos="0"/>
        </w:tabs>
        <w:ind w:start="250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3">
      <w:start w:val="1"/>
      <w:numFmt w:val="decimal"/>
      <w:lvlText w:val="%4"/>
      <w:lvlJc w:val="start"/>
      <w:pPr>
        <w:tabs>
          <w:tab w:val="num" w:pos="0"/>
        </w:tabs>
        <w:ind w:start="322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4">
      <w:start w:val="1"/>
      <w:numFmt w:val="lowerLetter"/>
      <w:lvlText w:val="%5"/>
      <w:lvlJc w:val="start"/>
      <w:pPr>
        <w:tabs>
          <w:tab w:val="num" w:pos="0"/>
        </w:tabs>
        <w:ind w:start="394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5">
      <w:start w:val="1"/>
      <w:numFmt w:val="lowerRoman"/>
      <w:lvlText w:val="%6"/>
      <w:lvlJc w:val="start"/>
      <w:pPr>
        <w:tabs>
          <w:tab w:val="num" w:pos="0"/>
        </w:tabs>
        <w:ind w:start="466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6">
      <w:start w:val="1"/>
      <w:numFmt w:val="decimal"/>
      <w:lvlText w:val="%7"/>
      <w:lvlJc w:val="start"/>
      <w:pPr>
        <w:tabs>
          <w:tab w:val="num" w:pos="0"/>
        </w:tabs>
        <w:ind w:start="538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7">
      <w:start w:val="1"/>
      <w:numFmt w:val="lowerLetter"/>
      <w:lvlText w:val="%8"/>
      <w:lvlJc w:val="start"/>
      <w:pPr>
        <w:tabs>
          <w:tab w:val="num" w:pos="0"/>
        </w:tabs>
        <w:ind w:start="610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lvl w:ilvl="8">
      <w:start w:val="1"/>
      <w:numFmt w:val="lowerRoman"/>
      <w:lvlText w:val="%9"/>
      <w:lvlJc w:val="start"/>
      <w:pPr>
        <w:tabs>
          <w:tab w:val="num" w:pos="0"/>
        </w:tabs>
        <w:ind w:start="6828" w:hanging="0"/>
      </w:pPr>
      <w:rPr>
        <w:rFonts w:ascii="Times New Roman" w:hAnsi="Times New Roman" w:eastAsia="Times New Roman" w:cs="Times New Roman"/>
        <w:b w:val="false"/>
        <w:i w:val="false"/>
        <w:strike w:val="false"/>
        <w:dstrike w:val="false"/>
        <w:color w:val="000000"/>
        <w:position w:val="0"/>
        <w:sz w:val="28"/>
        <w:szCs w:val="28"/>
        <w:u w:val="none" w:color="000000"/>
        <w:shd w:fill="auto" w:val="clear"/>
        <w:vertAlign w:val="baseline"/>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208d"/>
    <w:pPr>
      <w:widowControl/>
      <w:bidi w:val="0"/>
      <w:spacing w:lineRule="auto" w:line="360" w:before="0" w:after="0"/>
      <w:ind w:firstLine="709"/>
      <w:jc w:val="both"/>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uiPriority w:val="9"/>
    <w:qFormat/>
    <w:rsid w:val="003742e1"/>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E74B5"/>
      <w:sz w:val="32"/>
      <w:szCs w:val="32"/>
    </w:rPr>
  </w:style>
  <w:style w:type="paragraph" w:styleId="Heading2">
    <w:name w:val="heading 2"/>
    <w:basedOn w:val="Normal"/>
    <w:next w:val="Normal"/>
    <w:link w:val="2"/>
    <w:uiPriority w:val="9"/>
    <w:semiHidden/>
    <w:unhideWhenUsed/>
    <w:qFormat/>
    <w:rsid w:val="00ed241f"/>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E74B5"/>
      <w:szCs w:val="26"/>
    </w:rPr>
  </w:style>
  <w:style w:type="paragraph" w:styleId="Heading3">
    <w:name w:val="heading 3"/>
    <w:basedOn w:val="Normal"/>
    <w:next w:val="Normal"/>
    <w:link w:val="3"/>
    <w:uiPriority w:val="9"/>
    <w:semiHidden/>
    <w:unhideWhenUsed/>
    <w:qFormat/>
    <w:rsid w:val="00ed241f"/>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sz w:val="24"/>
      <w:szCs w:val="24"/>
    </w:rPr>
  </w:style>
  <w:style w:type="paragraph" w:styleId="Heading4">
    <w:name w:val="heading 4"/>
    <w:basedOn w:val="Normal"/>
    <w:next w:val="Normal"/>
    <w:link w:val="4"/>
    <w:uiPriority w:val="9"/>
    <w:semiHidden/>
    <w:unhideWhenUsed/>
    <w:qFormat/>
    <w:rsid w:val="00ed241f"/>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E74B5"/>
    </w:rPr>
  </w:style>
  <w:style w:type="character" w:styleId="DefaultParagraphFont" w:default="1">
    <w:name w:val="Default Paragraph Font"/>
    <w:uiPriority w:val="1"/>
    <w:semiHidden/>
    <w:unhideWhenUsed/>
    <w:qFormat/>
    <w:rPr/>
  </w:style>
  <w:style w:type="character" w:styleId="Style10" w:customStyle="1">
    <w:name w:val="основной текст Знак"/>
    <w:link w:val="Style18"/>
    <w:qFormat/>
    <w:locked/>
    <w:rsid w:val="00c5208d"/>
    <w:rPr>
      <w:rFonts w:ascii="Times New Roman" w:hAnsi="Times New Roman" w:eastAsia="SimSun" w:cs="Times New Roman"/>
      <w:color w:val="000000"/>
      <w:sz w:val="24"/>
      <w:szCs w:val="28"/>
      <w:lang w:eastAsia="ru-RU"/>
    </w:rPr>
  </w:style>
  <w:style w:type="character" w:styleId="Hyperlink">
    <w:name w:val="Hyperlink"/>
    <w:basedOn w:val="DefaultParagraphFont"/>
    <w:uiPriority w:val="99"/>
    <w:unhideWhenUsed/>
    <w:qFormat/>
    <w:rsid w:val="00c5208d"/>
    <w:rPr>
      <w:color w:val="0000FF"/>
      <w:u w:val="single"/>
    </w:rPr>
  </w:style>
  <w:style w:type="character" w:styleId="Style11" w:customStyle="1">
    <w:name w:val="Верхний колонтитул Знак"/>
    <w:basedOn w:val="DefaultParagraphFont"/>
    <w:uiPriority w:val="99"/>
    <w:qFormat/>
    <w:rsid w:val="00762cc3"/>
    <w:rPr>
      <w:rFonts w:ascii="Times New Roman" w:hAnsi="Times New Roman" w:eastAsia="Times New Roman" w:cs="Times New Roman"/>
      <w:sz w:val="24"/>
      <w:szCs w:val="24"/>
      <w:lang w:eastAsia="ru-RU"/>
    </w:rPr>
  </w:style>
  <w:style w:type="character" w:styleId="1" w:customStyle="1">
    <w:name w:val="Заголовок 1 Знак"/>
    <w:basedOn w:val="DefaultParagraphFont"/>
    <w:uiPriority w:val="9"/>
    <w:qFormat/>
    <w:rsid w:val="003742e1"/>
    <w:rPr>
      <w:rFonts w:ascii="Calibri Light" w:hAnsi="Calibri Light" w:eastAsia="" w:cs="" w:asciiTheme="majorHAnsi" w:cstheme="majorBidi" w:eastAsiaTheme="majorEastAsia" w:hAnsiTheme="majorHAnsi"/>
      <w:color w:themeColor="accent1" w:themeShade="bf" w:val="2E74B5"/>
      <w:sz w:val="32"/>
      <w:szCs w:val="32"/>
    </w:rPr>
  </w:style>
  <w:style w:type="character" w:styleId="Strong">
    <w:name w:val="Strong"/>
    <w:basedOn w:val="DefaultParagraphFont"/>
    <w:uiPriority w:val="22"/>
    <w:qFormat/>
    <w:rsid w:val="00c20869"/>
    <w:rPr>
      <w:b/>
      <w:bCs/>
    </w:rPr>
  </w:style>
  <w:style w:type="character" w:styleId="2" w:customStyle="1">
    <w:name w:val="Заголовок 2 Знак"/>
    <w:basedOn w:val="DefaultParagraphFont"/>
    <w:uiPriority w:val="9"/>
    <w:semiHidden/>
    <w:qFormat/>
    <w:rsid w:val="00ed241f"/>
    <w:rPr>
      <w:rFonts w:ascii="Calibri Light" w:hAnsi="Calibri Light" w:eastAsia="" w:cs="" w:asciiTheme="majorHAnsi" w:cstheme="majorBidi" w:eastAsiaTheme="majorEastAsia" w:hAnsiTheme="majorHAnsi"/>
      <w:color w:themeColor="accent1" w:themeShade="bf" w:val="2E74B5"/>
      <w:sz w:val="26"/>
      <w:szCs w:val="26"/>
    </w:rPr>
  </w:style>
  <w:style w:type="character" w:styleId="3" w:customStyle="1">
    <w:name w:val="Заголовок 3 Знак"/>
    <w:basedOn w:val="DefaultParagraphFont"/>
    <w:uiPriority w:val="9"/>
    <w:semiHidden/>
    <w:qFormat/>
    <w:rsid w:val="00ed241f"/>
    <w:rPr>
      <w:rFonts w:ascii="Calibri Light" w:hAnsi="Calibri Light" w:eastAsia="" w:cs="" w:asciiTheme="majorHAnsi" w:cstheme="majorBidi" w:eastAsiaTheme="majorEastAsia" w:hAnsiTheme="majorHAnsi"/>
      <w:color w:themeColor="accent1" w:themeShade="7f" w:val="1F4D78"/>
      <w:sz w:val="24"/>
      <w:szCs w:val="24"/>
    </w:rPr>
  </w:style>
  <w:style w:type="character" w:styleId="4" w:customStyle="1">
    <w:name w:val="Заголовок 4 Знак"/>
    <w:basedOn w:val="DefaultParagraphFont"/>
    <w:uiPriority w:val="9"/>
    <w:semiHidden/>
    <w:qFormat/>
    <w:rsid w:val="00ed241f"/>
    <w:rPr>
      <w:rFonts w:ascii="Calibri Light" w:hAnsi="Calibri Light" w:eastAsia="" w:cs="" w:asciiTheme="majorHAnsi" w:cstheme="majorBidi" w:eastAsiaTheme="majorEastAsia" w:hAnsiTheme="majorHAnsi"/>
      <w:i/>
      <w:iCs/>
      <w:color w:themeColor="accent1" w:themeShade="bf" w:val="2E74B5"/>
      <w:sz w:val="26"/>
    </w:rPr>
  </w:style>
  <w:style w:type="character" w:styleId="Style12" w:customStyle="1">
    <w:name w:val="Обычный (Интернет) Знак"/>
    <w:link w:val="NormalWeb"/>
    <w:uiPriority w:val="99"/>
    <w:qFormat/>
    <w:locked/>
    <w:rsid w:val="00fd69a8"/>
    <w:rPr>
      <w:rFonts w:ascii="Times New Roman" w:hAnsi="Times New Roman" w:eastAsia="Times New Roman" w:cs="Times New Roman"/>
      <w:color w:val="000000"/>
      <w:sz w:val="24"/>
      <w:szCs w:val="24"/>
      <w:lang w:eastAsia="ru-RU"/>
    </w:rPr>
  </w:style>
  <w:style w:type="character" w:styleId="Style13" w:customStyle="1">
    <w:name w:val="Гипертекстовая ссылка"/>
    <w:basedOn w:val="DefaultParagraphFont"/>
    <w:uiPriority w:val="99"/>
    <w:qFormat/>
    <w:rsid w:val="005b7dcd"/>
    <w:rPr>
      <w:rFonts w:cs="Times New Roman"/>
      <w:b w:val="false"/>
      <w:color w:val="106BBE"/>
    </w:rPr>
  </w:style>
  <w:style w:type="character" w:styleId="Style14" w:customStyle="1">
    <w:name w:val="Нижний колонтитул Знак"/>
    <w:basedOn w:val="DefaultParagraphFont"/>
    <w:uiPriority w:val="99"/>
    <w:qFormat/>
    <w:rsid w:val="00093c8e"/>
    <w:rPr>
      <w:rFonts w:ascii="Times New Roman" w:hAnsi="Times New Roman"/>
      <w:sz w:val="26"/>
    </w:rPr>
  </w:style>
  <w:style w:type="character" w:styleId="Style15">
    <w:name w:val="Ссылка указателя"/>
    <w:qFormat/>
    <w:rPr/>
  </w:style>
  <w:style w:type="paragraph" w:styleId="Style16">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7">
    <w:name w:val="Указатель"/>
    <w:basedOn w:val="Normal"/>
    <w:qFormat/>
    <w:pPr>
      <w:suppressLineNumbers/>
    </w:pPr>
    <w:rPr>
      <w:rFonts w:cs="Noto Sans"/>
    </w:rPr>
  </w:style>
  <w:style w:type="paragraph" w:styleId="Style18" w:customStyle="1">
    <w:name w:val="основной текст"/>
    <w:basedOn w:val="Normal"/>
    <w:link w:val="Style10"/>
    <w:qFormat/>
    <w:rsid w:val="00c5208d"/>
    <w:pPr>
      <w:spacing w:lineRule="auto" w:line="240"/>
    </w:pPr>
    <w:rPr>
      <w:rFonts w:eastAsia="SimSun" w:cs="Times New Roman"/>
      <w:color w:val="000000"/>
      <w:sz w:val="24"/>
      <w:szCs w:val="28"/>
      <w:lang w:eastAsia="ru-RU"/>
    </w:rPr>
  </w:style>
  <w:style w:type="paragraph" w:styleId="formattext" w:customStyle="1">
    <w:name w:val="formattext"/>
    <w:basedOn w:val="Normal"/>
    <w:qFormat/>
    <w:rsid w:val="00c5208d"/>
    <w:pPr>
      <w:spacing w:lineRule="auto" w:line="240" w:beforeAutospacing="1" w:afterAutospacing="1"/>
      <w:ind w:hanging="0"/>
      <w:jc w:val="start"/>
    </w:pPr>
    <w:rPr>
      <w:rFonts w:eastAsia="Times New Roman" w:cs="Times New Roman"/>
      <w:sz w:val="24"/>
      <w:szCs w:val="24"/>
      <w:lang w:eastAsia="ru-RU"/>
    </w:rPr>
  </w:style>
  <w:style w:type="paragraph" w:styleId="Style19">
    <w:name w:val="Колонтитулы"/>
    <w:basedOn w:val="Normal"/>
    <w:qFormat/>
    <w:pPr/>
    <w:rPr/>
  </w:style>
  <w:style w:type="paragraph" w:styleId="Header">
    <w:name w:val="header"/>
    <w:basedOn w:val="Normal"/>
    <w:link w:val="Style11"/>
    <w:uiPriority w:val="99"/>
    <w:unhideWhenUsed/>
    <w:qFormat/>
    <w:rsid w:val="00762cc3"/>
    <w:pPr>
      <w:tabs>
        <w:tab w:val="clear" w:pos="708"/>
        <w:tab w:val="center" w:pos="4677" w:leader="none"/>
        <w:tab w:val="right" w:pos="9355" w:leader="none"/>
      </w:tabs>
      <w:spacing w:lineRule="auto" w:line="240"/>
      <w:ind w:hanging="0"/>
      <w:jc w:val="start"/>
    </w:pPr>
    <w:rPr>
      <w:rFonts w:eastAsia="Times New Roman" w:cs="Times New Roman"/>
      <w:sz w:val="24"/>
      <w:szCs w:val="24"/>
      <w:lang w:eastAsia="ru-RU"/>
    </w:rPr>
  </w:style>
  <w:style w:type="paragraph" w:styleId="Default" w:customStyle="1">
    <w:name w:val="Default"/>
    <w:qFormat/>
    <w:rsid w:val="00d54ac9"/>
    <w:pPr>
      <w:widowControl/>
      <w:bidi w:val="0"/>
      <w:spacing w:lineRule="auto" w:line="240" w:before="0" w:after="0"/>
      <w:jc w:val="start"/>
    </w:pPr>
    <w:rPr>
      <w:rFonts w:ascii="Liberation Serif" w:hAnsi="Liberation Serif" w:cs="Liberation Serif" w:eastAsia="Calibri"/>
      <w:color w:val="000000"/>
      <w:kern w:val="0"/>
      <w:sz w:val="24"/>
      <w:szCs w:val="24"/>
      <w:lang w:val="ru-RU" w:eastAsia="en-US" w:bidi="ar-SA"/>
    </w:rPr>
  </w:style>
  <w:style w:type="paragraph" w:styleId="ConsPlusTitle" w:customStyle="1">
    <w:name w:val="ConsPlusTitle"/>
    <w:qFormat/>
    <w:rsid w:val="00453324"/>
    <w:pPr>
      <w:widowControl w:val="false"/>
      <w:bidi w:val="0"/>
      <w:spacing w:lineRule="auto" w:line="240" w:before="0" w:after="0"/>
      <w:jc w:val="start"/>
    </w:pPr>
    <w:rPr>
      <w:rFonts w:ascii="Times New Roman" w:hAnsi="Times New Roman" w:eastAsia="Times New Roman" w:cs="Times New Roman"/>
      <w:b/>
      <w:bCs/>
      <w:color w:val="auto"/>
      <w:kern w:val="0"/>
      <w:sz w:val="24"/>
      <w:szCs w:val="24"/>
      <w:lang w:eastAsia="ru-RU" w:val="ru-RU" w:bidi="ar-SA"/>
    </w:rPr>
  </w:style>
  <w:style w:type="paragraph" w:styleId="TOC1">
    <w:name w:val="toc 1"/>
    <w:basedOn w:val="Normal"/>
    <w:next w:val="Normal"/>
    <w:autoRedefine/>
    <w:uiPriority w:val="39"/>
    <w:unhideWhenUsed/>
    <w:rsid w:val="00093c8e"/>
    <w:pPr>
      <w:tabs>
        <w:tab w:val="clear" w:pos="708"/>
        <w:tab w:val="right" w:pos="10084" w:leader="dot"/>
      </w:tabs>
      <w:spacing w:lineRule="auto" w:line="276" w:before="0" w:after="100"/>
      <w:ind w:hanging="0"/>
    </w:pPr>
    <w:rPr/>
  </w:style>
  <w:style w:type="paragraph" w:styleId="s1" w:customStyle="1">
    <w:name w:val="s_1"/>
    <w:basedOn w:val="Normal"/>
    <w:qFormat/>
    <w:rsid w:val="0016220a"/>
    <w:pPr>
      <w:spacing w:lineRule="auto" w:line="240" w:beforeAutospacing="1" w:afterAutospacing="1"/>
      <w:ind w:hanging="0"/>
      <w:jc w:val="start"/>
    </w:pPr>
    <w:rPr>
      <w:rFonts w:eastAsia="Times New Roman" w:cs="Times New Roman"/>
      <w:sz w:val="24"/>
      <w:szCs w:val="24"/>
      <w:lang w:eastAsia="ru-RU"/>
    </w:rPr>
  </w:style>
  <w:style w:type="paragraph" w:styleId="Style20" w:customStyle="1">
    <w:name w:val="_Рисунок"/>
    <w:basedOn w:val="Normal"/>
    <w:qFormat/>
    <w:rsid w:val="00ed241f"/>
    <w:pPr>
      <w:numPr>
        <w:ilvl w:val="4"/>
        <w:numId w:val="2"/>
      </w:numPr>
      <w:spacing w:lineRule="auto" w:line="240" w:before="0" w:after="200"/>
      <w:contextualSpacing/>
      <w:jc w:val="center"/>
    </w:pPr>
    <w:rPr>
      <w:rFonts w:eastAsia="Times New Roman" w:cs="Times New Roman"/>
      <w:szCs w:val="26"/>
      <w:lang w:eastAsia="ru-RU"/>
    </w:rPr>
  </w:style>
  <w:style w:type="paragraph" w:styleId="11" w:customStyle="1">
    <w:name w:val="_Таблица 1.1"/>
    <w:basedOn w:val="Normal"/>
    <w:next w:val="Normal"/>
    <w:qFormat/>
    <w:rsid w:val="00ed241f"/>
    <w:pPr>
      <w:numPr>
        <w:ilvl w:val="5"/>
        <w:numId w:val="2"/>
      </w:numPr>
      <w:spacing w:lineRule="auto" w:line="240" w:before="240" w:after="120"/>
      <w:ind w:end="282"/>
      <w:contextualSpacing/>
    </w:pPr>
    <w:rPr>
      <w:rFonts w:eastAsia="Times New Roman" w:cs="Times New Roman"/>
      <w:iCs/>
      <w:szCs w:val="26"/>
      <w:lang w:eastAsia="ru-RU"/>
    </w:rPr>
  </w:style>
  <w:style w:type="paragraph" w:styleId="111" w:customStyle="1">
    <w:name w:val="_Таблица 1.1.1"/>
    <w:basedOn w:val="11"/>
    <w:next w:val="Normal"/>
    <w:qFormat/>
    <w:rsid w:val="00ed241f"/>
    <w:pPr>
      <w:ind w:end="284"/>
      <w:mirrorIndents/>
    </w:pPr>
    <w:rPr/>
  </w:style>
  <w:style w:type="paragraph" w:styleId="1111" w:customStyle="1">
    <w:name w:val="_Таблица 1.1.1.1"/>
    <w:basedOn w:val="111"/>
    <w:next w:val="Normal"/>
    <w:qFormat/>
    <w:rsid w:val="00ed241f"/>
    <w:pPr/>
    <w:rPr/>
  </w:style>
  <w:style w:type="paragraph" w:styleId="11111" w:customStyle="1">
    <w:name w:val="_Таблица 1.1.1.1.1"/>
    <w:basedOn w:val="1111"/>
    <w:next w:val="Normal"/>
    <w:qFormat/>
    <w:rsid w:val="00ed241f"/>
    <w:pPr/>
    <w:rPr/>
  </w:style>
  <w:style w:type="paragraph" w:styleId="12" w:customStyle="1">
    <w:name w:val="_1."/>
    <w:basedOn w:val="Heading1"/>
    <w:next w:val="Normal"/>
    <w:qFormat/>
    <w:rsid w:val="00ed241f"/>
    <w:pPr>
      <w:pageBreakBefore/>
      <w:numPr>
        <w:ilvl w:val="0"/>
        <w:numId w:val="2"/>
      </w:numPr>
      <w:spacing w:lineRule="auto" w:line="240" w:before="0" w:after="360"/>
    </w:pPr>
    <w:rPr>
      <w:rFonts w:ascii="Times New Roman" w:hAnsi="Times New Roman" w:cs="Times New Roman"/>
      <w:b/>
      <w:bCs/>
      <w:color w:val="auto"/>
      <w:sz w:val="28"/>
      <w:szCs w:val="26"/>
      <w:lang w:eastAsia="ru-RU"/>
    </w:rPr>
  </w:style>
  <w:style w:type="paragraph" w:styleId="112" w:customStyle="1">
    <w:name w:val="_1.1."/>
    <w:basedOn w:val="Heading2"/>
    <w:next w:val="Normal"/>
    <w:qFormat/>
    <w:rsid w:val="00ed241f"/>
    <w:pPr>
      <w:numPr>
        <w:ilvl w:val="1"/>
        <w:numId w:val="2"/>
      </w:numPr>
      <w:tabs>
        <w:tab w:val="clear" w:pos="708"/>
        <w:tab w:val="left" w:pos="1440" w:leader="none"/>
      </w:tabs>
      <w:spacing w:lineRule="auto" w:line="240" w:before="0" w:after="120"/>
      <w:ind w:hanging="360" w:start="1440"/>
    </w:pPr>
    <w:rPr>
      <w:rFonts w:ascii="Times New Roman" w:hAnsi="Times New Roman" w:eastAsia="Times New Roman" w:cs="Times New Roman"/>
      <w:bCs/>
      <w:i/>
      <w:color w:val="auto"/>
      <w:sz w:val="24"/>
      <w:lang w:eastAsia="ru-RU"/>
    </w:rPr>
  </w:style>
  <w:style w:type="paragraph" w:styleId="1112" w:customStyle="1">
    <w:name w:val="_1.1.1."/>
    <w:basedOn w:val="Heading3"/>
    <w:next w:val="Normal"/>
    <w:qFormat/>
    <w:rsid w:val="00ed241f"/>
    <w:pPr>
      <w:numPr>
        <w:ilvl w:val="2"/>
        <w:numId w:val="2"/>
      </w:numPr>
      <w:tabs>
        <w:tab w:val="clear" w:pos="708"/>
        <w:tab w:val="left" w:pos="2160" w:leader="none"/>
      </w:tabs>
      <w:spacing w:lineRule="auto" w:line="240" w:before="360" w:after="360"/>
      <w:ind w:hanging="360" w:start="2160"/>
    </w:pPr>
    <w:rPr>
      <w:rFonts w:ascii="Times New Roman" w:hAnsi="Times New Roman" w:eastAsia="Times New Roman" w:cs="Times New Roman"/>
      <w:b/>
      <w:bCs/>
      <w:color w:val="auto"/>
      <w:sz w:val="26"/>
      <w:szCs w:val="26"/>
      <w:lang w:eastAsia="ru-RU"/>
    </w:rPr>
  </w:style>
  <w:style w:type="paragraph" w:styleId="11112" w:customStyle="1">
    <w:name w:val="_1.1.1.1."/>
    <w:basedOn w:val="Heading4"/>
    <w:next w:val="Normal"/>
    <w:qFormat/>
    <w:rsid w:val="00ed241f"/>
    <w:pPr>
      <w:numPr>
        <w:ilvl w:val="3"/>
        <w:numId w:val="2"/>
      </w:numPr>
      <w:tabs>
        <w:tab w:val="clear" w:pos="708"/>
        <w:tab w:val="left" w:pos="2880" w:leader="none"/>
      </w:tabs>
      <w:spacing w:lineRule="auto" w:line="240" w:before="240" w:after="120"/>
      <w:ind w:hanging="360" w:start="2880"/>
    </w:pPr>
    <w:rPr>
      <w:rFonts w:ascii="Times New Roman" w:hAnsi="Times New Roman" w:eastAsia="Times New Roman" w:cs="Times New Roman"/>
      <w:b/>
      <w:bCs/>
      <w:color w:val="auto"/>
      <w:szCs w:val="26"/>
      <w:lang w:eastAsia="ru-RU"/>
    </w:rPr>
  </w:style>
  <w:style w:type="paragraph" w:styleId="ListParagraph">
    <w:name w:val="List Paragraph"/>
    <w:basedOn w:val="Normal"/>
    <w:uiPriority w:val="34"/>
    <w:qFormat/>
    <w:rsid w:val="00ed241f"/>
    <w:pPr>
      <w:spacing w:lineRule="auto" w:line="240" w:before="0" w:after="240"/>
      <w:ind w:start="720"/>
      <w:contextualSpacing/>
    </w:pPr>
    <w:rPr>
      <w:rFonts w:eastAsia="Times New Roman" w:cs="Times New Roman"/>
      <w:sz w:val="24"/>
      <w:szCs w:val="24"/>
      <w:lang w:eastAsia="ru-RU"/>
    </w:rPr>
  </w:style>
  <w:style w:type="paragraph" w:styleId="NormalWeb">
    <w:name w:val="Normal (Web)"/>
    <w:basedOn w:val="Normal"/>
    <w:link w:val="Style12"/>
    <w:uiPriority w:val="99"/>
    <w:qFormat/>
    <w:rsid w:val="00fd69a8"/>
    <w:pPr>
      <w:spacing w:lineRule="auto" w:line="240" w:beforeAutospacing="1" w:afterAutospacing="1"/>
      <w:ind w:hanging="0"/>
      <w:jc w:val="start"/>
    </w:pPr>
    <w:rPr>
      <w:rFonts w:eastAsia="Times New Roman" w:cs="Times New Roman"/>
      <w:color w:val="000000"/>
      <w:sz w:val="24"/>
      <w:szCs w:val="24"/>
      <w:lang w:eastAsia="ru-RU"/>
    </w:rPr>
  </w:style>
  <w:style w:type="paragraph" w:styleId="Footer">
    <w:name w:val="footer"/>
    <w:basedOn w:val="Normal"/>
    <w:link w:val="Style14"/>
    <w:uiPriority w:val="99"/>
    <w:unhideWhenUsed/>
    <w:rsid w:val="00093c8e"/>
    <w:pPr>
      <w:tabs>
        <w:tab w:val="clear" w:pos="708"/>
        <w:tab w:val="center" w:pos="4677" w:leader="none"/>
        <w:tab w:val="right" w:pos="9355" w:leader="none"/>
      </w:tabs>
      <w:spacing w:lineRule="auto" w:line="240"/>
    </w:pPr>
    <w:rPr/>
  </w:style>
  <w:style w:type="paragraph" w:styleId="IndexHeading">
    <w:name w:val="index heading"/>
    <w:basedOn w:val="Style16"/>
    <w:pPr/>
    <w:rPr/>
  </w:style>
  <w:style w:type="paragraph" w:styleId="TOCHeading">
    <w:name w:val="TOC Heading"/>
    <w:basedOn w:val="Heading1"/>
    <w:next w:val="Normal"/>
    <w:uiPriority w:val="39"/>
    <w:unhideWhenUsed/>
    <w:qFormat/>
    <w:rsid w:val="00093c8e"/>
    <w:pPr>
      <w:spacing w:lineRule="auto" w:line="259"/>
      <w:ind w:hanging="0"/>
      <w:jc w:val="start"/>
      <w:outlineLvl w:val="9"/>
    </w:pPr>
    <w:rPr>
      <w:lang w:eastAsia="ru-RU"/>
    </w:rPr>
  </w:style>
  <w:style w:type="paragraph" w:styleId="Style21">
    <w:name w:val="Содержимое врезки"/>
    <w:basedOn w:val="Normal"/>
    <w:qFormat/>
    <w:pPr/>
    <w:rPr/>
  </w:style>
  <w:style w:type="numbering" w:styleId="Style22"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9">
    <w:name w:val="Table Grid"/>
    <w:basedOn w:val="a2"/>
    <w:uiPriority w:val="39"/>
    <w:rsid w:val="00d54ac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a65e15"/>
    <w:pPr>
      <w:spacing w:after="0" w:line="240" w:lineRule="auto"/>
    </w:pPr>
    <w:rPr>
      <w:rFonts w:eastAsiaTheme="minorEastAsia"/>
      <w:lang w:eastAsia="ru-RU"/>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448284&amp;date=15.08.2024&amp;dst=100026&amp;field=134&amp;demo=2" TargetMode="External"/><Relationship Id="rId3" Type="http://schemas.openxmlformats.org/officeDocument/2006/relationships/hyperlink" Target="https://docs.cntd.ru/document/9009935" TargetMode="External"/><Relationship Id="rId4" Type="http://schemas.openxmlformats.org/officeDocument/2006/relationships/hyperlink" Target="https://docs.cntd.ru/document/901884206" TargetMode="External"/><Relationship Id="rId5" Type="http://schemas.openxmlformats.org/officeDocument/2006/relationships/image" Target="media/image1.png"/><Relationship Id="rId6" Type="http://schemas.openxmlformats.org/officeDocument/2006/relationships/hyperlink" Target="https://login.consultant.ru/link/?req=doc&amp;base=LAW&amp;n=157081&amp;date=10.03.2025&amp;dst=100002&amp;field=134&amp;demo=2" TargetMode="External"/><Relationship Id="rId7" Type="http://schemas.openxmlformats.org/officeDocument/2006/relationships/hyperlink" Target="https://www.consultant.ru/document/cons_doc_LAW_15234/" TargetMode="External"/><Relationship Id="rId8" Type="http://schemas.openxmlformats.org/officeDocument/2006/relationships/image" Target="media/image2.wmf"/><Relationship Id="rId9" Type="http://schemas.openxmlformats.org/officeDocument/2006/relationships/image" Target="media/image3.wmf"/><Relationship Id="rId10" Type="http://schemas.openxmlformats.org/officeDocument/2006/relationships/image" Target="media/image4.wmf"/><Relationship Id="rId11" Type="http://schemas.openxmlformats.org/officeDocument/2006/relationships/image" Target="media/image5.wmf"/><Relationship Id="rId12" Type="http://schemas.openxmlformats.org/officeDocument/2006/relationships/image" Target="media/image6.wmf"/><Relationship Id="rId13" Type="http://schemas.openxmlformats.org/officeDocument/2006/relationships/image" Target="media/image7.wmf"/><Relationship Id="rId14" Type="http://schemas.openxmlformats.org/officeDocument/2006/relationships/image" Target="media/image8.wmf"/><Relationship Id="rId15" Type="http://schemas.openxmlformats.org/officeDocument/2006/relationships/image" Target="media/image9.wmf"/><Relationship Id="rId16" Type="http://schemas.openxmlformats.org/officeDocument/2006/relationships/image" Target="media/image10.wmf"/><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header" Target="header3.xml"/><Relationship Id="rId23" Type="http://schemas.openxmlformats.org/officeDocument/2006/relationships/footer" Target="footer4.xml"/><Relationship Id="rId24" Type="http://schemas.openxmlformats.org/officeDocument/2006/relationships/footer" Target="footer5.xml"/><Relationship Id="rId25" Type="http://schemas.openxmlformats.org/officeDocument/2006/relationships/header" Target="header4.xml"/><Relationship Id="rId26" Type="http://schemas.openxmlformats.org/officeDocument/2006/relationships/header" Target="header5.xml"/><Relationship Id="rId27" Type="http://schemas.openxmlformats.org/officeDocument/2006/relationships/footer" Target="footer6.xml"/><Relationship Id="rId28" Type="http://schemas.openxmlformats.org/officeDocument/2006/relationships/footer" Target="footer7.xml"/><Relationship Id="rId29"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E62D6-83B9-4D7E-B4C1-2303F9C05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Application>LibreOffice/25.8.4.2$Linux_X86_64 LibreOffice_project/290daaa01b999472f0c7a3890eb6a550fd74c6df</Application>
  <AppVersion>15.0000</AppVersion>
  <Pages>41</Pages>
  <Words>7312</Words>
  <Characters>53316</Characters>
  <CharactersWithSpaces>60156</CharactersWithSpaces>
  <Paragraphs>1055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2025-12-02T08:39:00Z</dcterms:created>
  <dc:creator>Меньшиков Владимир Николаевич</dc:creator>
  <dc:description/>
  <dc:language>ru-RU</dc:language>
  <cp:lastModifiedBy/>
  <cp:lastPrinted>2026-02-06T13:23:00Z</cp:lastPrinted>
  <dcterms:modified xsi:type="dcterms:W3CDTF">2026-02-13T14:04:32Z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file>